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91408" w14:textId="0BE3911B" w:rsidR="00933A8E" w:rsidRDefault="00933A8E" w:rsidP="00933A8E">
      <w:pPr>
        <w:spacing w:after="60" w:line="276" w:lineRule="auto"/>
        <w:ind w:left="709" w:hanging="720"/>
        <w:jc w:val="right"/>
        <w:rPr>
          <w:b/>
        </w:rPr>
      </w:pPr>
      <w:r>
        <w:rPr>
          <w:b/>
        </w:rPr>
        <w:t>Załącznik nr 1 do SIWZ</w:t>
      </w:r>
    </w:p>
    <w:p w14:paraId="72C2602D" w14:textId="77777777" w:rsidR="00933A8E" w:rsidRDefault="00933A8E" w:rsidP="00DA1E2D">
      <w:pPr>
        <w:spacing w:after="60" w:line="276" w:lineRule="auto"/>
        <w:ind w:left="709" w:hanging="720"/>
        <w:jc w:val="center"/>
        <w:rPr>
          <w:b/>
        </w:rPr>
      </w:pPr>
    </w:p>
    <w:p w14:paraId="708C3CA8" w14:textId="7DDF899A" w:rsidR="009D2108" w:rsidRPr="00DA1E2D" w:rsidRDefault="009D2108" w:rsidP="00DA1E2D">
      <w:pPr>
        <w:spacing w:after="60" w:line="276" w:lineRule="auto"/>
        <w:ind w:left="709" w:hanging="720"/>
        <w:jc w:val="center"/>
      </w:pPr>
      <w:r w:rsidRPr="00DA1E2D">
        <w:rPr>
          <w:b/>
        </w:rPr>
        <w:t>OPIS PRZEDMIOTU ZAMÓWIENIA</w:t>
      </w:r>
    </w:p>
    <w:p w14:paraId="116FEFD9" w14:textId="655D3D85" w:rsidR="00D855F9" w:rsidRPr="00DA1E2D" w:rsidRDefault="00675603" w:rsidP="00DA1E2D">
      <w:pPr>
        <w:pStyle w:val="Akapitzlist"/>
        <w:numPr>
          <w:ilvl w:val="0"/>
          <w:numId w:val="25"/>
        </w:numPr>
        <w:spacing w:after="60" w:line="276" w:lineRule="auto"/>
        <w:ind w:left="709"/>
        <w:contextualSpacing w:val="0"/>
        <w:rPr>
          <w:b/>
        </w:rPr>
      </w:pPr>
      <w:r w:rsidRPr="00DA1E2D">
        <w:rPr>
          <w:b/>
        </w:rPr>
        <w:t xml:space="preserve">INFORMACJE OGÓLNE </w:t>
      </w:r>
    </w:p>
    <w:p w14:paraId="017BA08D" w14:textId="0D75E402" w:rsidR="00E515F9" w:rsidRPr="00DA1E2D" w:rsidRDefault="00D855F9" w:rsidP="00DA1E2D">
      <w:pPr>
        <w:pStyle w:val="Akapitzlist"/>
        <w:numPr>
          <w:ilvl w:val="0"/>
          <w:numId w:val="2"/>
        </w:numPr>
        <w:spacing w:after="60" w:line="276" w:lineRule="auto"/>
        <w:ind w:left="426" w:hanging="426"/>
        <w:contextualSpacing w:val="0"/>
        <w:jc w:val="both"/>
      </w:pPr>
      <w:r w:rsidRPr="00DA1E2D">
        <w:t>Przedmiotem zamówienia jest</w:t>
      </w:r>
      <w:r w:rsidR="001D1CEC" w:rsidRPr="00DA1E2D">
        <w:t xml:space="preserve"> </w:t>
      </w:r>
      <w:r w:rsidR="0096788A" w:rsidRPr="00DA1E2D">
        <w:t xml:space="preserve">usługa </w:t>
      </w:r>
      <w:r w:rsidRPr="00DA1E2D">
        <w:t>grupowe</w:t>
      </w:r>
      <w:r w:rsidR="001D1CEC" w:rsidRPr="00DA1E2D">
        <w:t>go</w:t>
      </w:r>
      <w:r w:rsidRPr="00DA1E2D">
        <w:t xml:space="preserve"> ubezpieczeni</w:t>
      </w:r>
      <w:r w:rsidR="001D1CEC" w:rsidRPr="00DA1E2D">
        <w:t>a</w:t>
      </w:r>
      <w:r w:rsidRPr="00DA1E2D">
        <w:t xml:space="preserve"> na życie pracowników </w:t>
      </w:r>
      <w:r w:rsidR="0096788A" w:rsidRPr="00DA1E2D">
        <w:t xml:space="preserve">Zamawiającego </w:t>
      </w:r>
      <w:r w:rsidRPr="00DA1E2D">
        <w:t>oraz członków</w:t>
      </w:r>
      <w:r w:rsidR="00E60BED" w:rsidRPr="00DA1E2D">
        <w:t xml:space="preserve"> ich</w:t>
      </w:r>
      <w:r w:rsidRPr="00DA1E2D">
        <w:t xml:space="preserve"> rodzin</w:t>
      </w:r>
      <w:r w:rsidR="00B12315" w:rsidRPr="00DA1E2D">
        <w:t>.</w:t>
      </w:r>
      <w:r w:rsidRPr="00DA1E2D">
        <w:t xml:space="preserve"> </w:t>
      </w:r>
    </w:p>
    <w:p w14:paraId="10007410" w14:textId="4ABE4C22" w:rsidR="000C034B" w:rsidRPr="00DA1E2D" w:rsidRDefault="000C034B" w:rsidP="00DA1E2D">
      <w:pPr>
        <w:pStyle w:val="Akapitzlist"/>
        <w:numPr>
          <w:ilvl w:val="0"/>
          <w:numId w:val="2"/>
        </w:numPr>
        <w:spacing w:after="60" w:line="276" w:lineRule="auto"/>
        <w:ind w:left="426" w:hanging="426"/>
        <w:contextualSpacing w:val="0"/>
      </w:pPr>
      <w:r w:rsidRPr="00DA1E2D">
        <w:t>Definicje:</w:t>
      </w:r>
    </w:p>
    <w:p w14:paraId="7C715569" w14:textId="052A90FF" w:rsidR="000C034B" w:rsidRPr="00DA1E2D" w:rsidRDefault="000C034B" w:rsidP="00DA1E2D">
      <w:pPr>
        <w:spacing w:after="60" w:line="276" w:lineRule="auto"/>
        <w:ind w:left="426"/>
        <w:jc w:val="both"/>
      </w:pPr>
      <w:r w:rsidRPr="00DA1E2D">
        <w:rPr>
          <w:b/>
        </w:rPr>
        <w:t>U</w:t>
      </w:r>
      <w:r w:rsidR="00321872" w:rsidRPr="00DA1E2D">
        <w:rPr>
          <w:b/>
        </w:rPr>
        <w:t>bezpieczony</w:t>
      </w:r>
      <w:r w:rsidR="00F437AD" w:rsidRPr="00DA1E2D">
        <w:rPr>
          <w:b/>
        </w:rPr>
        <w:t xml:space="preserve"> / uczestnik programu</w:t>
      </w:r>
      <w:r w:rsidRPr="00DA1E2D">
        <w:t>: pracownik lub członek jego rodziny</w:t>
      </w:r>
      <w:r w:rsidR="00971F32" w:rsidRPr="00DA1E2D">
        <w:t xml:space="preserve"> zgłoszony do </w:t>
      </w:r>
      <w:r w:rsidR="00A24042" w:rsidRPr="00DA1E2D">
        <w:t>grupowego ubezpieczenia na życie</w:t>
      </w:r>
    </w:p>
    <w:p w14:paraId="22E6A7EA" w14:textId="001F0A41" w:rsidR="000C034B" w:rsidRPr="00DA1E2D" w:rsidRDefault="000C034B" w:rsidP="00DA1E2D">
      <w:pPr>
        <w:spacing w:after="60" w:line="276" w:lineRule="auto"/>
        <w:ind w:left="426"/>
        <w:jc w:val="both"/>
      </w:pPr>
      <w:r w:rsidRPr="00DA1E2D">
        <w:rPr>
          <w:b/>
        </w:rPr>
        <w:t>Pracownik</w:t>
      </w:r>
      <w:r w:rsidRPr="00DA1E2D">
        <w:t xml:space="preserve">: osoba zatrudniona przez Zamawiającego </w:t>
      </w:r>
      <w:r w:rsidR="00406101" w:rsidRPr="0071556E">
        <w:t>w oparciu o umowę o pracę</w:t>
      </w:r>
      <w:r w:rsidRPr="0071556E">
        <w:t xml:space="preserve"> </w:t>
      </w:r>
      <w:r w:rsidR="00E16134" w:rsidRPr="0071556E">
        <w:t>oraz</w:t>
      </w:r>
      <w:r w:rsidR="0071556E">
        <w:t xml:space="preserve"> akt </w:t>
      </w:r>
      <w:r w:rsidR="00E16134">
        <w:t>powołania</w:t>
      </w:r>
      <w:r w:rsidRPr="00DA1E2D">
        <w:t xml:space="preserve">– w wieku do </w:t>
      </w:r>
      <w:r w:rsidR="00D2030E" w:rsidRPr="00DA1E2D">
        <w:t>69</w:t>
      </w:r>
      <w:r w:rsidRPr="00DA1E2D">
        <w:t xml:space="preserve"> r.ż.</w:t>
      </w:r>
    </w:p>
    <w:p w14:paraId="05C47EC6" w14:textId="77777777" w:rsidR="000C034B" w:rsidRPr="00DA1E2D" w:rsidRDefault="000C034B" w:rsidP="00DA1E2D">
      <w:pPr>
        <w:spacing w:after="60" w:line="276" w:lineRule="auto"/>
        <w:ind w:left="426"/>
        <w:jc w:val="both"/>
      </w:pPr>
      <w:r w:rsidRPr="00DA1E2D">
        <w:rPr>
          <w:b/>
        </w:rPr>
        <w:t>Członek rodziny</w:t>
      </w:r>
      <w:r w:rsidRPr="00DA1E2D">
        <w:t xml:space="preserve"> pracownika Zamawiającego: </w:t>
      </w:r>
    </w:p>
    <w:p w14:paraId="5E401F56" w14:textId="051F353D" w:rsidR="000C034B" w:rsidRPr="00DA1E2D" w:rsidRDefault="000C034B" w:rsidP="00DA1E2D">
      <w:pPr>
        <w:spacing w:after="60" w:line="276" w:lineRule="auto"/>
        <w:ind w:left="426"/>
        <w:jc w:val="both"/>
      </w:pPr>
      <w:r w:rsidRPr="00DA1E2D">
        <w:t xml:space="preserve">- małżonek lub partner </w:t>
      </w:r>
      <w:r w:rsidR="0096788A" w:rsidRPr="00DA1E2D">
        <w:t xml:space="preserve">życiowy </w:t>
      </w:r>
      <w:r w:rsidRPr="00DA1E2D">
        <w:t>pracownika (</w:t>
      </w:r>
      <w:r w:rsidR="00A90877" w:rsidRPr="00DA1E2D">
        <w:t xml:space="preserve">partner rozumiany jako </w:t>
      </w:r>
      <w:r w:rsidRPr="00DA1E2D">
        <w:t>osoba prowadzącą z pracownikiem wspólne gospodarstwo domowe</w:t>
      </w:r>
      <w:r w:rsidR="00301C8F" w:rsidRPr="00DA1E2D">
        <w:t>,</w:t>
      </w:r>
      <w:r w:rsidRPr="00DA1E2D">
        <w:t xml:space="preserve"> </w:t>
      </w:r>
      <w:r w:rsidR="00C965DC" w:rsidRPr="00DA1E2D">
        <w:t xml:space="preserve">niespokrewniona z pracownikiem, </w:t>
      </w:r>
      <w:r w:rsidRPr="00DA1E2D">
        <w:t>wskazana przez pracownika</w:t>
      </w:r>
      <w:r w:rsidR="0054470A" w:rsidRPr="00DA1E2D">
        <w:t xml:space="preserve"> </w:t>
      </w:r>
      <w:r w:rsidRPr="00DA1E2D">
        <w:t xml:space="preserve">w deklaracji przystąpienia do programu </w:t>
      </w:r>
      <w:r w:rsidR="00CE4074" w:rsidRPr="00DA1E2D">
        <w:t>grupowego ubezpieczenia na życie</w:t>
      </w:r>
      <w:r w:rsidR="007C5549" w:rsidRPr="00DA1E2D">
        <w:t xml:space="preserve">, przy czym wskazanie partnera może </w:t>
      </w:r>
      <w:r w:rsidR="009A4A8B" w:rsidRPr="00DA1E2D">
        <w:t>nastąpić</w:t>
      </w:r>
      <w:r w:rsidR="007C5549" w:rsidRPr="00DA1E2D">
        <w:t xml:space="preserve"> jedynie wówczas, gdy </w:t>
      </w:r>
      <w:r w:rsidR="009A4A8B" w:rsidRPr="00DA1E2D">
        <w:t>zarówno pracownik jak i partner nie pozostają w żadnym związku formalnym</w:t>
      </w:r>
      <w:r w:rsidRPr="00DA1E2D">
        <w:t xml:space="preserve">) - w wieku do </w:t>
      </w:r>
      <w:r w:rsidR="00D2030E" w:rsidRPr="00DA1E2D">
        <w:t>69</w:t>
      </w:r>
      <w:r w:rsidRPr="00DA1E2D">
        <w:t xml:space="preserve"> r.ż.</w:t>
      </w:r>
    </w:p>
    <w:p w14:paraId="5CFF02ED" w14:textId="6FD6F614" w:rsidR="000C034B" w:rsidRPr="00DA1E2D" w:rsidRDefault="000C034B" w:rsidP="00DA1E2D">
      <w:pPr>
        <w:spacing w:after="60" w:line="276" w:lineRule="auto"/>
        <w:ind w:left="426"/>
        <w:jc w:val="both"/>
      </w:pPr>
      <w:r w:rsidRPr="00DA1E2D">
        <w:t>- dziecko własne lub przysposobione pracownika Zamawiającego lub jego małżonka albo partnera w wieku o</w:t>
      </w:r>
      <w:r w:rsidR="00475A2A" w:rsidRPr="00DA1E2D">
        <w:t>d</w:t>
      </w:r>
      <w:r w:rsidRPr="00DA1E2D">
        <w:t xml:space="preserve"> 18 r.ż. </w:t>
      </w:r>
      <w:r w:rsidR="00475A2A" w:rsidRPr="00DA1E2D">
        <w:t xml:space="preserve">do </w:t>
      </w:r>
      <w:r w:rsidR="00D2030E" w:rsidRPr="00DA1E2D">
        <w:t>69</w:t>
      </w:r>
      <w:r w:rsidR="00475A2A" w:rsidRPr="00DA1E2D">
        <w:t xml:space="preserve"> </w:t>
      </w:r>
      <w:r w:rsidRPr="00DA1E2D">
        <w:t>r.ż.</w:t>
      </w:r>
    </w:p>
    <w:p w14:paraId="7439D634" w14:textId="4675BF56" w:rsidR="000C034B" w:rsidRPr="00DA1E2D" w:rsidRDefault="000C034B" w:rsidP="00DA1E2D">
      <w:pPr>
        <w:spacing w:after="60" w:line="276" w:lineRule="auto"/>
        <w:ind w:left="426"/>
        <w:jc w:val="both"/>
      </w:pPr>
      <w:r w:rsidRPr="00DA1E2D">
        <w:rPr>
          <w:b/>
        </w:rPr>
        <w:t>Deklaracja przystąpienia</w:t>
      </w:r>
      <w:r w:rsidRPr="00DA1E2D">
        <w:t xml:space="preserve"> – dokument wypełniany przez każd</w:t>
      </w:r>
      <w:r w:rsidR="00BE3FD8" w:rsidRPr="00DA1E2D">
        <w:t xml:space="preserve">ą osobę pragnącą przystąpić do grupowego ubezpieczenia na życie </w:t>
      </w:r>
      <w:r w:rsidRPr="00DA1E2D">
        <w:t>(wg wzoru przygotowanego przez Wykonawcę)</w:t>
      </w:r>
    </w:p>
    <w:p w14:paraId="63CD23DC" w14:textId="364BFBFF" w:rsidR="000A5433" w:rsidRPr="00DA1E2D" w:rsidRDefault="007B3134" w:rsidP="00DA1E2D">
      <w:pPr>
        <w:spacing w:after="60" w:line="276" w:lineRule="auto"/>
        <w:ind w:left="426"/>
        <w:jc w:val="both"/>
      </w:pPr>
      <w:r w:rsidRPr="00DA1E2D">
        <w:rPr>
          <w:b/>
        </w:rPr>
        <w:t>Wariant ubezpieczenia</w:t>
      </w:r>
      <w:r w:rsidRPr="00DA1E2D">
        <w:t xml:space="preserve"> </w:t>
      </w:r>
      <w:r w:rsidR="000C034B" w:rsidRPr="00DA1E2D">
        <w:t xml:space="preserve"> – określony </w:t>
      </w:r>
      <w:bookmarkStart w:id="0" w:name="_Hlk3192907"/>
      <w:r w:rsidR="00596539" w:rsidRPr="00DA1E2D">
        <w:t xml:space="preserve">wykaz zdarzeń ubezpieczeniowych </w:t>
      </w:r>
      <w:r w:rsidR="00110FEE" w:rsidRPr="00DA1E2D">
        <w:t xml:space="preserve">(ryzyk) </w:t>
      </w:r>
      <w:r w:rsidR="00596539" w:rsidRPr="00DA1E2D">
        <w:t xml:space="preserve">objętych ochroną </w:t>
      </w:r>
      <w:r w:rsidR="00044C73" w:rsidRPr="00DA1E2D">
        <w:t xml:space="preserve">z przyporządkowanymi </w:t>
      </w:r>
      <w:r w:rsidR="00054685" w:rsidRPr="00DA1E2D">
        <w:t xml:space="preserve">im </w:t>
      </w:r>
      <w:r w:rsidR="00044C73" w:rsidRPr="00DA1E2D">
        <w:t>świadczeniami pienięż</w:t>
      </w:r>
      <w:r w:rsidR="00054685" w:rsidRPr="00DA1E2D">
        <w:t>nymi lub rzeczowymi</w:t>
      </w:r>
      <w:r w:rsidR="00044C73" w:rsidRPr="00DA1E2D">
        <w:t xml:space="preserve"> </w:t>
      </w:r>
      <w:bookmarkEnd w:id="0"/>
    </w:p>
    <w:p w14:paraId="303CF8F1" w14:textId="65863682" w:rsidR="000A5433" w:rsidRPr="00DA1E2D" w:rsidRDefault="00C059CF" w:rsidP="00DA1E2D">
      <w:pPr>
        <w:spacing w:after="60" w:line="276" w:lineRule="auto"/>
        <w:ind w:left="426"/>
        <w:jc w:val="both"/>
      </w:pPr>
      <w:r w:rsidRPr="00DA1E2D">
        <w:t xml:space="preserve">Członek rodziny może przystąpić do programu grupowego ubezpieczenia na życie jedynie wówczas, gdy pracownik jest uczestnikiem programu. Wykonawca może wymagać, aby </w:t>
      </w:r>
      <w:r w:rsidR="0086309B" w:rsidRPr="00DA1E2D">
        <w:t>członek rodziny</w:t>
      </w:r>
      <w:r w:rsidR="00AE0239" w:rsidRPr="00DA1E2D">
        <w:t xml:space="preserve"> pracownika wybiera</w:t>
      </w:r>
      <w:r w:rsidRPr="00DA1E2D">
        <w:t>ł</w:t>
      </w:r>
      <w:r w:rsidR="00AE0239" w:rsidRPr="00DA1E2D">
        <w:t xml:space="preserve"> taki sam wariant ubezpieczenia jak pracownik</w:t>
      </w:r>
      <w:r w:rsidR="00F5479C" w:rsidRPr="00DA1E2D">
        <w:t>.</w:t>
      </w:r>
      <w:r w:rsidR="00582E7B" w:rsidRPr="00DA1E2D">
        <w:t xml:space="preserve"> </w:t>
      </w:r>
    </w:p>
    <w:p w14:paraId="2AA70BF9" w14:textId="546238C4" w:rsidR="00810E8A" w:rsidRPr="00DA1E2D" w:rsidRDefault="00810E8A" w:rsidP="00DA1E2D">
      <w:pPr>
        <w:spacing w:after="60" w:line="276" w:lineRule="auto"/>
        <w:ind w:left="426"/>
        <w:jc w:val="both"/>
      </w:pPr>
      <w:r w:rsidRPr="00DA1E2D">
        <w:rPr>
          <w:b/>
        </w:rPr>
        <w:t>OWU Wykonawcy</w:t>
      </w:r>
      <w:r w:rsidRPr="00DA1E2D">
        <w:t xml:space="preserve"> – ogólne warunki ubezpieczeń mając</w:t>
      </w:r>
      <w:r w:rsidR="00B01636" w:rsidRPr="00DA1E2D">
        <w:t>e</w:t>
      </w:r>
      <w:r w:rsidRPr="00DA1E2D">
        <w:t xml:space="preserve"> zastosowanie do oferty przedstawionej przez Wykonawcę </w:t>
      </w:r>
    </w:p>
    <w:p w14:paraId="63D47887" w14:textId="0747FDC5" w:rsidR="00627E7A" w:rsidRPr="00DA1E2D" w:rsidRDefault="00F437AD" w:rsidP="00DA1E2D">
      <w:pPr>
        <w:pStyle w:val="Akapitzlist"/>
        <w:numPr>
          <w:ilvl w:val="0"/>
          <w:numId w:val="2"/>
        </w:numPr>
        <w:spacing w:after="60" w:line="276" w:lineRule="auto"/>
        <w:ind w:left="426" w:hanging="426"/>
        <w:contextualSpacing w:val="0"/>
        <w:jc w:val="both"/>
      </w:pPr>
      <w:r w:rsidRPr="00DA1E2D">
        <w:t>Ochrona ubezpieczeniowa</w:t>
      </w:r>
      <w:r w:rsidR="00627E7A" w:rsidRPr="00DA1E2D">
        <w:t xml:space="preserve"> świadczon</w:t>
      </w:r>
      <w:r w:rsidRPr="00DA1E2D">
        <w:t>a</w:t>
      </w:r>
      <w:r w:rsidR="00627E7A" w:rsidRPr="00DA1E2D">
        <w:t xml:space="preserve"> </w:t>
      </w:r>
      <w:r w:rsidRPr="00DA1E2D">
        <w:t>będzie</w:t>
      </w:r>
      <w:r w:rsidR="00627E7A" w:rsidRPr="00DA1E2D">
        <w:t xml:space="preserve"> uczestnikom </w:t>
      </w:r>
      <w:r w:rsidR="00BE4A8A" w:rsidRPr="00DA1E2D">
        <w:t>grupowego ubezpieczenia na życie</w:t>
      </w:r>
      <w:r w:rsidR="00627E7A" w:rsidRPr="00DA1E2D">
        <w:t xml:space="preserve"> w ramach </w:t>
      </w:r>
      <w:r w:rsidR="00D678F4" w:rsidRPr="00DA1E2D">
        <w:t>3</w:t>
      </w:r>
      <w:r w:rsidR="00627E7A" w:rsidRPr="00DA1E2D">
        <w:t xml:space="preserve"> (</w:t>
      </w:r>
      <w:r w:rsidR="00D678F4" w:rsidRPr="00DA1E2D">
        <w:t>trzech</w:t>
      </w:r>
      <w:r w:rsidR="00627E7A" w:rsidRPr="00DA1E2D">
        <w:t xml:space="preserve">) </w:t>
      </w:r>
      <w:r w:rsidR="00630AAB" w:rsidRPr="00DA1E2D">
        <w:t xml:space="preserve">wariantów ubezpieczenia </w:t>
      </w:r>
      <w:r w:rsidR="00627E7A" w:rsidRPr="00DA1E2D">
        <w:t>(zróżnicowanych pod względem zakresu</w:t>
      </w:r>
      <w:r w:rsidR="00630AAB" w:rsidRPr="00DA1E2D">
        <w:t xml:space="preserve"> i wysokości świadczeń</w:t>
      </w:r>
      <w:r w:rsidR="00627E7A" w:rsidRPr="00DA1E2D">
        <w:t xml:space="preserve">) </w:t>
      </w:r>
      <w:r w:rsidR="00630AAB" w:rsidRPr="00DA1E2D">
        <w:t xml:space="preserve">24h na dobę na całym świecie </w:t>
      </w:r>
      <w:r w:rsidR="002A2E17" w:rsidRPr="00DA1E2D">
        <w:t>o ile nie zaznaczono inaczej. Warianty</w:t>
      </w:r>
      <w:r w:rsidR="00627E7A" w:rsidRPr="00DA1E2D">
        <w:t xml:space="preserve"> zostały oznaczone numerami od 1 do </w:t>
      </w:r>
      <w:r w:rsidR="00835BB5" w:rsidRPr="00DA1E2D">
        <w:t>3</w:t>
      </w:r>
      <w:r w:rsidR="00627E7A" w:rsidRPr="00DA1E2D">
        <w:t xml:space="preserve">. </w:t>
      </w:r>
    </w:p>
    <w:p w14:paraId="6920C648" w14:textId="4E43BE11" w:rsidR="00627E7A" w:rsidRPr="00DA1E2D" w:rsidRDefault="00627E7A" w:rsidP="00DA1E2D">
      <w:pPr>
        <w:pStyle w:val="Akapitzlist"/>
        <w:numPr>
          <w:ilvl w:val="0"/>
          <w:numId w:val="2"/>
        </w:numPr>
        <w:spacing w:after="60" w:line="276" w:lineRule="auto"/>
        <w:ind w:left="426" w:hanging="426"/>
        <w:contextualSpacing w:val="0"/>
        <w:jc w:val="both"/>
      </w:pPr>
      <w:r w:rsidRPr="00DA1E2D">
        <w:t xml:space="preserve">Wykaz </w:t>
      </w:r>
      <w:r w:rsidR="002A2E17" w:rsidRPr="00DA1E2D">
        <w:t xml:space="preserve">zdarzeń </w:t>
      </w:r>
      <w:r w:rsidR="00856190" w:rsidRPr="00DA1E2D">
        <w:t xml:space="preserve">(ryzyk) </w:t>
      </w:r>
      <w:r w:rsidR="002A2E17" w:rsidRPr="00DA1E2D">
        <w:t xml:space="preserve">ubezpieczeniowych objętych ochroną wraz z przyporządkowanymi im świadczeniami pieniężnymi lub rzeczowymi </w:t>
      </w:r>
      <w:r w:rsidRPr="00DA1E2D">
        <w:t xml:space="preserve">w ramach poszczególnych </w:t>
      </w:r>
      <w:r w:rsidR="002A2E17" w:rsidRPr="00DA1E2D">
        <w:t xml:space="preserve">wariantów ubezpieczenia </w:t>
      </w:r>
      <w:r w:rsidRPr="00DA1E2D">
        <w:t>zawarty został w Załączniku nr 1.</w:t>
      </w:r>
      <w:r w:rsidR="001705FD" w:rsidRPr="00DA1E2D">
        <w:t xml:space="preserve"> </w:t>
      </w:r>
      <w:r w:rsidRPr="00DA1E2D">
        <w:t xml:space="preserve">Wspomniany wykaz </w:t>
      </w:r>
      <w:r w:rsidR="005474B4" w:rsidRPr="00DA1E2D">
        <w:t xml:space="preserve">zdarzeń </w:t>
      </w:r>
      <w:r w:rsidR="00856190" w:rsidRPr="00DA1E2D">
        <w:t xml:space="preserve">(ryzyk) </w:t>
      </w:r>
      <w:r w:rsidR="005474B4" w:rsidRPr="00DA1E2D">
        <w:t xml:space="preserve">ubezpieczeniowych </w:t>
      </w:r>
      <w:r w:rsidRPr="00DA1E2D">
        <w:t xml:space="preserve">należy traktować jako wykaz minimum. Wykonawca może zaproponować szerszy zakres </w:t>
      </w:r>
      <w:r w:rsidR="005474B4" w:rsidRPr="00DA1E2D">
        <w:t>ochrony ubezpieczeniowej</w:t>
      </w:r>
      <w:r w:rsidR="00A278C7" w:rsidRPr="00DA1E2D">
        <w:t xml:space="preserve"> </w:t>
      </w:r>
      <w:r w:rsidR="00C059CF" w:rsidRPr="00DA1E2D">
        <w:t xml:space="preserve">lub wyższe świadczenia </w:t>
      </w:r>
      <w:r w:rsidR="00A278C7" w:rsidRPr="00DA1E2D">
        <w:t xml:space="preserve">zgodnie z zasadami </w:t>
      </w:r>
      <w:r w:rsidR="000D317A" w:rsidRPr="00DA1E2D">
        <w:t>opisanymi w niniejszym OPZ</w:t>
      </w:r>
      <w:r w:rsidRPr="00DA1E2D">
        <w:t>.</w:t>
      </w:r>
    </w:p>
    <w:p w14:paraId="29639FEF" w14:textId="5555F416" w:rsidR="00627E7A" w:rsidRPr="00DA1E2D" w:rsidRDefault="00627E7A" w:rsidP="00DA1E2D">
      <w:pPr>
        <w:pStyle w:val="Akapitzlist"/>
        <w:numPr>
          <w:ilvl w:val="0"/>
          <w:numId w:val="2"/>
        </w:numPr>
        <w:spacing w:after="60" w:line="276" w:lineRule="auto"/>
        <w:ind w:left="426" w:hanging="426"/>
        <w:contextualSpacing w:val="0"/>
        <w:jc w:val="both"/>
      </w:pPr>
      <w:r w:rsidRPr="00DA1E2D">
        <w:t xml:space="preserve">Uczestnictwo w programie </w:t>
      </w:r>
      <w:r w:rsidR="005474B4" w:rsidRPr="00DA1E2D">
        <w:t>grupowego ubezpieczeni</w:t>
      </w:r>
      <w:r w:rsidR="00D65D35" w:rsidRPr="00DA1E2D">
        <w:t>a</w:t>
      </w:r>
      <w:r w:rsidR="005474B4" w:rsidRPr="00DA1E2D">
        <w:t xml:space="preserve"> na życie </w:t>
      </w:r>
      <w:r w:rsidRPr="00DA1E2D">
        <w:t xml:space="preserve">będzie dobrowolne. </w:t>
      </w:r>
      <w:r w:rsidR="00040D88" w:rsidRPr="00DA1E2D">
        <w:t xml:space="preserve">Składki ubezpieczeniowe zarówno w przypadku pracowników jak i członków ich rodzin </w:t>
      </w:r>
      <w:r w:rsidR="00A746A3" w:rsidRPr="00DA1E2D">
        <w:t xml:space="preserve">przystępujących do grupowego ubezpieczenia na życie </w:t>
      </w:r>
      <w:r w:rsidRPr="00DA1E2D">
        <w:t>będą finansowane przez pracowników Zamawiającego z ich własnych środków.</w:t>
      </w:r>
    </w:p>
    <w:p w14:paraId="5D81E075" w14:textId="13ADCD55" w:rsidR="00F124E3" w:rsidRPr="00DA1E2D" w:rsidRDefault="00F124E3" w:rsidP="00DA1E2D">
      <w:pPr>
        <w:pStyle w:val="Akapitzlist"/>
        <w:numPr>
          <w:ilvl w:val="0"/>
          <w:numId w:val="2"/>
        </w:numPr>
        <w:spacing w:after="60" w:line="276" w:lineRule="auto"/>
        <w:ind w:left="426" w:hanging="426"/>
        <w:contextualSpacing w:val="0"/>
        <w:jc w:val="both"/>
      </w:pPr>
      <w:r w:rsidRPr="00DA1E2D">
        <w:lastRenderedPageBreak/>
        <w:t xml:space="preserve">Zamawiający informuje, że obecna liczba osób uczestniczących w programach ubezpieczeniowych funkcjonujących u </w:t>
      </w:r>
      <w:r w:rsidR="009B0A65" w:rsidRPr="00DA1E2D">
        <w:t>Z</w:t>
      </w:r>
      <w:r w:rsidRPr="00DA1E2D">
        <w:t xml:space="preserve">amawiającego </w:t>
      </w:r>
      <w:r w:rsidR="00E72FA0" w:rsidRPr="00DA1E2D">
        <w:t>których c</w:t>
      </w:r>
      <w:r w:rsidRPr="00DA1E2D">
        <w:t>harakter zbliżony</w:t>
      </w:r>
      <w:r w:rsidR="00E72FA0" w:rsidRPr="00DA1E2D">
        <w:t xml:space="preserve"> jest</w:t>
      </w:r>
      <w:r w:rsidRPr="00DA1E2D">
        <w:t xml:space="preserve"> do </w:t>
      </w:r>
      <w:r w:rsidRPr="00EE460A">
        <w:t xml:space="preserve">programu grupowego ubezpieczenia na życie będącego przedmiotem niniejszej SIWZ wynosi </w:t>
      </w:r>
      <w:r w:rsidR="0057371A" w:rsidRPr="00EE460A">
        <w:t>138</w:t>
      </w:r>
      <w:r w:rsidRPr="00EE460A">
        <w:t xml:space="preserve"> osób (w tym </w:t>
      </w:r>
      <w:r w:rsidR="0057371A" w:rsidRPr="00EE460A">
        <w:t>8</w:t>
      </w:r>
      <w:r w:rsidRPr="00DA1E2D">
        <w:t xml:space="preserve"> członków rodzin). Zamawiający nie gwarantuje, że wszyscy obecnie ubezpieczeni skorzystają z możliwości przystąpienia do nowego </w:t>
      </w:r>
      <w:r w:rsidR="00583CFC" w:rsidRPr="00DA1E2D">
        <w:t xml:space="preserve">programu </w:t>
      </w:r>
      <w:r w:rsidRPr="00DA1E2D">
        <w:t>grupowego ubezpieczenia na życie</w:t>
      </w:r>
      <w:r w:rsidR="000B52AF" w:rsidRPr="00DA1E2D">
        <w:t xml:space="preserve">. Jednocześnie </w:t>
      </w:r>
      <w:r w:rsidR="00C51826" w:rsidRPr="00DA1E2D">
        <w:t>Z</w:t>
      </w:r>
      <w:r w:rsidR="000B52AF" w:rsidRPr="00DA1E2D">
        <w:t xml:space="preserve">amawiający informuje, że w przypadku </w:t>
      </w:r>
      <w:r w:rsidR="00C51826" w:rsidRPr="00DA1E2D">
        <w:t xml:space="preserve">wdrożenia u niego grupowego ubezpieczenia na życie będącego wynikiem niniejszego postępowania, dotychczasowe umowy </w:t>
      </w:r>
      <w:r w:rsidR="003D7DAC" w:rsidRPr="00DA1E2D">
        <w:t xml:space="preserve">grupowego ubezpieczenia na życie </w:t>
      </w:r>
      <w:r w:rsidR="009B0A65" w:rsidRPr="00DA1E2D">
        <w:t xml:space="preserve">zostaną wypowiedziane. </w:t>
      </w:r>
    </w:p>
    <w:p w14:paraId="6DFB5D40" w14:textId="402C130B" w:rsidR="00627E7A" w:rsidRPr="006771C5" w:rsidRDefault="009B0A65" w:rsidP="00DA1E2D">
      <w:pPr>
        <w:pStyle w:val="Akapitzlist"/>
        <w:numPr>
          <w:ilvl w:val="0"/>
          <w:numId w:val="2"/>
        </w:numPr>
        <w:spacing w:after="60" w:line="276" w:lineRule="auto"/>
        <w:ind w:left="426" w:hanging="426"/>
        <w:contextualSpacing w:val="0"/>
        <w:jc w:val="both"/>
      </w:pPr>
      <w:r w:rsidRPr="00DA1E2D">
        <w:t>Aktualne d</w:t>
      </w:r>
      <w:r w:rsidR="004A336E" w:rsidRPr="00DA1E2D">
        <w:t xml:space="preserve">ane dotyczące wieku i płci Pracowników Zamawiającego znajdują się w </w:t>
      </w:r>
      <w:r w:rsidR="003177EA" w:rsidRPr="00DA1E2D">
        <w:t>Z</w:t>
      </w:r>
      <w:r w:rsidR="004A336E" w:rsidRPr="00DA1E2D">
        <w:t xml:space="preserve">ałączniku </w:t>
      </w:r>
      <w:r w:rsidR="00882B84" w:rsidRPr="00DA1E2D">
        <w:t xml:space="preserve">nr </w:t>
      </w:r>
      <w:r w:rsidR="000A591B">
        <w:t xml:space="preserve">1 do OPZ. </w:t>
      </w:r>
      <w:r w:rsidR="0002434C" w:rsidRPr="00DA1E2D">
        <w:t xml:space="preserve"> Zamawiający informuje, </w:t>
      </w:r>
      <w:r w:rsidR="00FC690C" w:rsidRPr="00DA1E2D">
        <w:t xml:space="preserve">iż </w:t>
      </w:r>
      <w:r w:rsidR="0017402B" w:rsidRPr="006771C5">
        <w:t>w zdecydowanej większości (ponad 95%) są to p</w:t>
      </w:r>
      <w:r w:rsidR="007D29FC" w:rsidRPr="006771C5">
        <w:t>racownicy biurowi</w:t>
      </w:r>
      <w:r w:rsidR="0017402B" w:rsidRPr="006771C5">
        <w:t>.</w:t>
      </w:r>
    </w:p>
    <w:p w14:paraId="05C5DA47" w14:textId="77777777" w:rsidR="00381B7B" w:rsidRPr="00DA1E2D" w:rsidRDefault="00381B7B" w:rsidP="00DA1E2D">
      <w:pPr>
        <w:spacing w:after="60" w:line="276" w:lineRule="auto"/>
        <w:ind w:left="1276"/>
        <w:jc w:val="both"/>
        <w:rPr>
          <w:rFonts w:cstheme="minorHAnsi"/>
        </w:rPr>
      </w:pPr>
    </w:p>
    <w:p w14:paraId="2126DDAB" w14:textId="40B11155" w:rsidR="003035C9" w:rsidRPr="00DA1E2D" w:rsidRDefault="00E0000D" w:rsidP="00DA1E2D">
      <w:pPr>
        <w:spacing w:after="60" w:line="276" w:lineRule="auto"/>
        <w:rPr>
          <w:b/>
        </w:rPr>
      </w:pPr>
      <w:r w:rsidRPr="00DA1E2D">
        <w:rPr>
          <w:b/>
        </w:rPr>
        <w:t xml:space="preserve">II. </w:t>
      </w:r>
      <w:r w:rsidRPr="00DA1E2D">
        <w:rPr>
          <w:b/>
        </w:rPr>
        <w:tab/>
      </w:r>
      <w:r w:rsidR="003035C9" w:rsidRPr="00DA1E2D">
        <w:rPr>
          <w:b/>
        </w:rPr>
        <w:t>SZCZEGÓŁOWY SPOSÓB REALIZACJI ZAMÓWIENIA</w:t>
      </w:r>
    </w:p>
    <w:p w14:paraId="4CF52F53" w14:textId="06D85900" w:rsidR="002D0D2B" w:rsidRPr="00EE460A" w:rsidRDefault="003035C9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Zamawiający wymaga, aby Wykonawca zagwarantował uruchomienie </w:t>
      </w:r>
      <w:r w:rsidR="00835BB5" w:rsidRPr="00DA1E2D">
        <w:rPr>
          <w:rFonts w:cstheme="minorHAnsi"/>
        </w:rPr>
        <w:t>3</w:t>
      </w:r>
      <w:r w:rsidRPr="00DA1E2D">
        <w:rPr>
          <w:rFonts w:cstheme="minorHAnsi"/>
        </w:rPr>
        <w:t xml:space="preserve"> (</w:t>
      </w:r>
      <w:r w:rsidR="00835BB5" w:rsidRPr="00DA1E2D">
        <w:rPr>
          <w:rFonts w:cstheme="minorHAnsi"/>
        </w:rPr>
        <w:t>trzech</w:t>
      </w:r>
      <w:r w:rsidRPr="00DA1E2D">
        <w:rPr>
          <w:rFonts w:cstheme="minorHAnsi"/>
        </w:rPr>
        <w:t xml:space="preserve">) </w:t>
      </w:r>
      <w:r w:rsidR="00462796" w:rsidRPr="00DA1E2D">
        <w:rPr>
          <w:rFonts w:cstheme="minorHAnsi"/>
        </w:rPr>
        <w:t xml:space="preserve">wariantów ubezpieczenia </w:t>
      </w:r>
      <w:r w:rsidRPr="00DA1E2D">
        <w:rPr>
          <w:rFonts w:cstheme="minorHAnsi"/>
        </w:rPr>
        <w:t xml:space="preserve">zróżnicowanych pod względem zakresu świadczeń – zgodnie z wykazem </w:t>
      </w:r>
      <w:r w:rsidR="00FA435C" w:rsidRPr="00DA1E2D">
        <w:t xml:space="preserve">zdarzeń ubezpieczeniowych </w:t>
      </w:r>
      <w:r w:rsidR="00FA435C" w:rsidRPr="00EE460A">
        <w:t>objętych ochroną wraz z przyporządkowanymi im świadczeniami pieniężnymi lub rzeczowymi w ramach poszczególnych wariantów ubezpieczenia</w:t>
      </w:r>
      <w:r w:rsidR="006634CA" w:rsidRPr="00EE460A">
        <w:t xml:space="preserve"> </w:t>
      </w:r>
      <w:r w:rsidR="00A16DA5" w:rsidRPr="00EE460A">
        <w:t xml:space="preserve">przedstawionych w tabeli </w:t>
      </w:r>
      <w:r w:rsidR="00FA435C" w:rsidRPr="00EE460A">
        <w:t>zawart</w:t>
      </w:r>
      <w:r w:rsidR="00A16DA5" w:rsidRPr="00EE460A">
        <w:t>ej</w:t>
      </w:r>
      <w:r w:rsidR="00FA435C" w:rsidRPr="00EE460A">
        <w:t xml:space="preserve"> w Załączniku nr</w:t>
      </w:r>
      <w:r w:rsidR="00075777" w:rsidRPr="00EE460A">
        <w:t>2</w:t>
      </w:r>
      <w:r w:rsidR="00D66C28" w:rsidRPr="00EE460A">
        <w:t xml:space="preserve"> </w:t>
      </w:r>
      <w:r w:rsidR="00D66C28" w:rsidRPr="00EE460A">
        <w:rPr>
          <w:rFonts w:cstheme="minorHAnsi"/>
        </w:rPr>
        <w:t xml:space="preserve">Wspomniany wykaz zdarzeń (ryzyk) ubezpieczeniowych, wysokość odpowiadających im świadczeń oraz zaprezentowane w Załączniku nr </w:t>
      </w:r>
      <w:r w:rsidR="00075777" w:rsidRPr="00EE460A">
        <w:rPr>
          <w:rFonts w:cstheme="minorHAnsi"/>
        </w:rPr>
        <w:t>2</w:t>
      </w:r>
      <w:r w:rsidR="00676548" w:rsidRPr="00EE460A">
        <w:rPr>
          <w:rFonts w:cstheme="minorHAnsi"/>
        </w:rPr>
        <w:t xml:space="preserve"> </w:t>
      </w:r>
      <w:r w:rsidR="00D66C28" w:rsidRPr="00EE460A">
        <w:rPr>
          <w:rFonts w:cstheme="minorHAnsi"/>
        </w:rPr>
        <w:t>definicje należy traktować jako wykaz minimum. Wykonawca może zaproponować szerszy zakres ochrony ubezpieczeniowej, wyższe świadczenia oraz szersze rozumienie definiowanych pojęć. Proponowane rozszerzenia ponad wymagane minimum w zakresie katalogu ryzyk ubezpieczeniowych, wysokości świadczeń, definicji etc. nie będą miały wpływu na ocenę oferty o ile nie zostało to wyraźnie wskazane w niniejszym OPZ.</w:t>
      </w:r>
    </w:p>
    <w:p w14:paraId="007371E4" w14:textId="34DAF8BE" w:rsidR="001B5BDE" w:rsidRPr="00DA1E2D" w:rsidRDefault="00356345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  <w:rPr>
          <w:rFonts w:cstheme="minorHAnsi"/>
        </w:rPr>
      </w:pPr>
      <w:r w:rsidRPr="00EE460A">
        <w:rPr>
          <w:rFonts w:cstheme="minorHAnsi"/>
        </w:rPr>
        <w:t xml:space="preserve">Minimalne </w:t>
      </w:r>
      <w:r w:rsidR="007C6031" w:rsidRPr="00EE460A">
        <w:rPr>
          <w:rFonts w:cstheme="minorHAnsi"/>
        </w:rPr>
        <w:t xml:space="preserve">skumulowane </w:t>
      </w:r>
      <w:r w:rsidRPr="00EE460A">
        <w:rPr>
          <w:rFonts w:cstheme="minorHAnsi"/>
        </w:rPr>
        <w:t xml:space="preserve">wysokości </w:t>
      </w:r>
      <w:r w:rsidR="007C6031" w:rsidRPr="00EE460A">
        <w:rPr>
          <w:rFonts w:cstheme="minorHAnsi"/>
        </w:rPr>
        <w:t xml:space="preserve">świadczeń zawiera </w:t>
      </w:r>
      <w:r w:rsidR="00676548" w:rsidRPr="00EE460A">
        <w:rPr>
          <w:rFonts w:cstheme="minorHAnsi"/>
        </w:rPr>
        <w:t>t</w:t>
      </w:r>
      <w:r w:rsidR="007C6031" w:rsidRPr="00EE460A">
        <w:rPr>
          <w:rFonts w:cstheme="minorHAnsi"/>
        </w:rPr>
        <w:t>abela w Załączniku nr .</w:t>
      </w:r>
      <w:r w:rsidR="00075777" w:rsidRPr="00EE460A">
        <w:rPr>
          <w:rFonts w:cstheme="minorHAnsi"/>
        </w:rPr>
        <w:t>2</w:t>
      </w:r>
      <w:r w:rsidR="007C6031" w:rsidRPr="00EE460A">
        <w:rPr>
          <w:rFonts w:cstheme="minorHAnsi"/>
        </w:rPr>
        <w:t xml:space="preserve"> </w:t>
      </w:r>
      <w:r w:rsidR="00096BAC" w:rsidRPr="00EE460A">
        <w:rPr>
          <w:rFonts w:cstheme="minorHAnsi"/>
        </w:rPr>
        <w:t xml:space="preserve">Zamawiający ustala wysokości świadczeń podstawowych kwotowo, w zł. </w:t>
      </w:r>
      <w:r w:rsidR="00C32FEF" w:rsidRPr="00EE460A">
        <w:rPr>
          <w:rFonts w:cstheme="minorHAnsi"/>
        </w:rPr>
        <w:t>Zamawiający zastrzega, że w</w:t>
      </w:r>
      <w:r w:rsidR="001B5BDE" w:rsidRPr="00EE460A">
        <w:rPr>
          <w:rFonts w:cstheme="minorHAnsi"/>
        </w:rPr>
        <w:t>ysokość świadcze</w:t>
      </w:r>
      <w:r w:rsidR="007C6031" w:rsidRPr="00EE460A">
        <w:rPr>
          <w:rFonts w:cstheme="minorHAnsi"/>
        </w:rPr>
        <w:t>ń</w:t>
      </w:r>
      <w:r w:rsidR="001B5BDE" w:rsidRPr="00EE460A">
        <w:rPr>
          <w:rFonts w:cstheme="minorHAnsi"/>
        </w:rPr>
        <w:t xml:space="preserve"> nie podlega zmniejszeniu o kwotę już wypłaconych świadczeń z tytułu innych ryzyk</w:t>
      </w:r>
      <w:r w:rsidR="001B5BDE" w:rsidRPr="00DA1E2D">
        <w:rPr>
          <w:rFonts w:cstheme="minorHAnsi"/>
        </w:rPr>
        <w:t>.</w:t>
      </w:r>
      <w:r w:rsidR="007C6031" w:rsidRPr="00DA1E2D">
        <w:rPr>
          <w:rFonts w:cstheme="minorHAnsi"/>
        </w:rPr>
        <w:t xml:space="preserve"> </w:t>
      </w:r>
      <w:r w:rsidR="007C6031" w:rsidRPr="00DA1E2D">
        <w:t>Wykonawca może zaproponować wyższe kwoty świadczeń niż minimalne określone przez Zamawiającego, co będzie podlegało ocenie zgodnie z opisem kryteriów oceny ofert.</w:t>
      </w:r>
    </w:p>
    <w:p w14:paraId="6C6FD063" w14:textId="6EE28FCD" w:rsidR="00850001" w:rsidRPr="00DA1E2D" w:rsidRDefault="00850001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</w:pPr>
      <w:r w:rsidRPr="00DA1E2D">
        <w:t>Zakres ubezpieczenia oraz składka ubezpieczeniowa, wysokość świadczeń ubezpieczeniowych w poszczególnych wariantach nie zmienią się przez cały okres wykonywania przedmiotu zamówienia.</w:t>
      </w:r>
      <w:r w:rsidRPr="00DA1E2D">
        <w:rPr>
          <w:color w:val="FF0000"/>
        </w:rPr>
        <w:t xml:space="preserve"> </w:t>
      </w:r>
      <w:r w:rsidR="002F342C" w:rsidRPr="00DA1E2D">
        <w:rPr>
          <w:color w:val="FF0000"/>
        </w:rPr>
        <w:t xml:space="preserve"> </w:t>
      </w:r>
    </w:p>
    <w:p w14:paraId="51F92C9A" w14:textId="21E0310B" w:rsidR="00DD2542" w:rsidRPr="00DA1E2D" w:rsidRDefault="00DD2542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</w:pPr>
      <w:r w:rsidRPr="00DA1E2D">
        <w:t>Zamawiający określa miesięczn</w:t>
      </w:r>
      <w:r w:rsidR="00E55E02" w:rsidRPr="00DA1E2D">
        <w:t>ą</w:t>
      </w:r>
      <w:r w:rsidRPr="00DA1E2D">
        <w:t xml:space="preserve"> składkę ubezpieczeniową od jednej osoby ubezpieczonej w wysokości nie więcej niż:</w:t>
      </w:r>
    </w:p>
    <w:tbl>
      <w:tblPr>
        <w:tblStyle w:val="Tabela-Siatka"/>
        <w:tblW w:w="850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394"/>
        <w:gridCol w:w="1417"/>
        <w:gridCol w:w="1276"/>
        <w:gridCol w:w="1418"/>
      </w:tblGrid>
      <w:tr w:rsidR="00A81FBA" w:rsidRPr="00DA1E2D" w14:paraId="0B2663D1" w14:textId="77777777" w:rsidTr="00A81FBA">
        <w:trPr>
          <w:trHeight w:val="715"/>
        </w:trPr>
        <w:tc>
          <w:tcPr>
            <w:tcW w:w="4394" w:type="dxa"/>
            <w:shd w:val="clear" w:color="auto" w:fill="D9E2F3" w:themeFill="accent1" w:themeFillTint="33"/>
            <w:vAlign w:val="center"/>
          </w:tcPr>
          <w:p w14:paraId="5F30F386" w14:textId="77777777" w:rsidR="00A81FBA" w:rsidRPr="00DA1E2D" w:rsidRDefault="00A81FBA" w:rsidP="00DA1E2D">
            <w:pPr>
              <w:spacing w:after="6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1E2D">
              <w:rPr>
                <w:rFonts w:eastAsia="Times New Roman" w:cstheme="minorHAnsi"/>
                <w:lang w:eastAsia="pl-PL"/>
              </w:rPr>
              <w:t>Wariant ubezpieczenia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3FB44E0" w14:textId="77777777" w:rsidR="00A81FBA" w:rsidRPr="00DA1E2D" w:rsidRDefault="00A81FBA" w:rsidP="00DA1E2D">
            <w:pPr>
              <w:spacing w:after="6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1E2D">
              <w:rPr>
                <w:rFonts w:eastAsia="Times New Roman" w:cstheme="minorHAnsi"/>
                <w:lang w:eastAsia="pl-PL"/>
              </w:rPr>
              <w:t>Wariant 1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098E467B" w14:textId="77777777" w:rsidR="00A81FBA" w:rsidRPr="00DA1E2D" w:rsidRDefault="00A81FBA" w:rsidP="00DA1E2D">
            <w:pPr>
              <w:spacing w:after="6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1E2D">
              <w:rPr>
                <w:rFonts w:eastAsia="Times New Roman" w:cstheme="minorHAnsi"/>
                <w:lang w:eastAsia="pl-PL"/>
              </w:rPr>
              <w:t>Wariant 2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58A348A2" w14:textId="3713007A" w:rsidR="00A81FBA" w:rsidRPr="00DA1E2D" w:rsidRDefault="00A81FBA" w:rsidP="00DA1E2D">
            <w:pPr>
              <w:spacing w:after="6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1E2D">
              <w:rPr>
                <w:rFonts w:eastAsia="Times New Roman" w:cstheme="minorHAnsi"/>
                <w:lang w:eastAsia="pl-PL"/>
              </w:rPr>
              <w:t>Wariant 3</w:t>
            </w:r>
          </w:p>
        </w:tc>
      </w:tr>
      <w:tr w:rsidR="00A81FBA" w:rsidRPr="00DA1E2D" w14:paraId="15797D3A" w14:textId="77777777" w:rsidTr="00A81FBA">
        <w:trPr>
          <w:trHeight w:val="809"/>
        </w:trPr>
        <w:tc>
          <w:tcPr>
            <w:tcW w:w="4394" w:type="dxa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D01128" w14:textId="277A7AE2" w:rsidR="00A81FBA" w:rsidRPr="00DA1E2D" w:rsidRDefault="00A81FBA" w:rsidP="00DA1E2D">
            <w:pPr>
              <w:spacing w:after="60" w:line="276" w:lineRule="auto"/>
              <w:rPr>
                <w:rFonts w:eastAsia="Times New Roman" w:cstheme="minorHAnsi"/>
                <w:lang w:eastAsia="pl-PL"/>
              </w:rPr>
            </w:pPr>
            <w:r w:rsidRPr="00DA1E2D">
              <w:rPr>
                <w:rFonts w:eastAsia="Times New Roman" w:cstheme="minorHAnsi"/>
                <w:lang w:eastAsia="pl-PL"/>
              </w:rPr>
              <w:t xml:space="preserve">Cena brutto - miesięczna składka ubezpieczeniowa za jednego ubezpieczonego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2F0943" w14:textId="5606F338" w:rsidR="00A81FBA" w:rsidRPr="00DA1E2D" w:rsidRDefault="00A81FBA" w:rsidP="00DA1E2D">
            <w:pPr>
              <w:spacing w:after="6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1E2D">
              <w:rPr>
                <w:rFonts w:eastAsia="Times New Roman" w:cstheme="minorHAnsi"/>
                <w:lang w:eastAsia="pl-PL"/>
              </w:rPr>
              <w:t>49 zł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35875" w14:textId="7C943498" w:rsidR="00A81FBA" w:rsidRPr="00DA1E2D" w:rsidRDefault="00A81FBA" w:rsidP="00DA1E2D">
            <w:pPr>
              <w:spacing w:after="6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1E2D">
              <w:rPr>
                <w:rFonts w:eastAsia="Times New Roman" w:cstheme="minorHAnsi"/>
                <w:lang w:eastAsia="pl-PL"/>
              </w:rPr>
              <w:t>6</w:t>
            </w:r>
            <w:r w:rsidR="00992FDD" w:rsidRPr="00DA1E2D">
              <w:rPr>
                <w:rFonts w:eastAsia="Times New Roman" w:cstheme="minorHAnsi"/>
                <w:lang w:eastAsia="pl-PL"/>
              </w:rPr>
              <w:t>4</w:t>
            </w:r>
            <w:r w:rsidRPr="00DA1E2D">
              <w:rPr>
                <w:rFonts w:eastAsia="Times New Roman" w:cstheme="minorHAnsi"/>
                <w:lang w:eastAsia="pl-P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071D98BF" w14:textId="23870309" w:rsidR="00A81FBA" w:rsidRPr="00DA1E2D" w:rsidRDefault="00A81FBA" w:rsidP="00DA1E2D">
            <w:pPr>
              <w:spacing w:after="6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1E2D">
              <w:rPr>
                <w:rFonts w:eastAsia="Times New Roman" w:cstheme="minorHAnsi"/>
                <w:lang w:eastAsia="pl-PL"/>
              </w:rPr>
              <w:t>60 zł</w:t>
            </w:r>
          </w:p>
        </w:tc>
      </w:tr>
    </w:tbl>
    <w:p w14:paraId="3F815C4B" w14:textId="77777777" w:rsidR="00DD2542" w:rsidRPr="00DA1E2D" w:rsidRDefault="00DD2542" w:rsidP="00DA1E2D">
      <w:pPr>
        <w:spacing w:after="60" w:line="276" w:lineRule="auto"/>
        <w:jc w:val="both"/>
        <w:rPr>
          <w:rFonts w:cstheme="minorHAnsi"/>
        </w:rPr>
      </w:pPr>
    </w:p>
    <w:p w14:paraId="1AC119CA" w14:textId="30C63024" w:rsidR="006137AF" w:rsidRPr="00DA1E2D" w:rsidRDefault="006137AF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  <w:rPr>
          <w:rFonts w:cstheme="minorHAnsi"/>
        </w:rPr>
      </w:pPr>
      <w:r w:rsidRPr="00DA1E2D">
        <w:t xml:space="preserve">Składka ubezpieczeniowa będzie podlegać ocenie zgodnie z kryteriami oceny ofert. Wskazane wysokości składek ubezpieczeniowych są wartościami maksymalnymi. Oferty zakładające </w:t>
      </w:r>
      <w:r w:rsidRPr="00DA1E2D">
        <w:lastRenderedPageBreak/>
        <w:t>wysokość składek wyższą ponad zakładane maksimum, zostaną odrzucone jako nie spełniające wymogów SIWZ</w:t>
      </w:r>
      <w:r w:rsidR="000E0FA0" w:rsidRPr="00DA1E2D">
        <w:t>.</w:t>
      </w:r>
    </w:p>
    <w:p w14:paraId="02F8AFED" w14:textId="4A6852CF" w:rsidR="002A71B6" w:rsidRPr="00DA1E2D" w:rsidRDefault="00F24607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</w:pPr>
      <w:r w:rsidRPr="00DA1E2D">
        <w:rPr>
          <w:rFonts w:cstheme="minorHAnsi"/>
        </w:rPr>
        <w:t xml:space="preserve">Zamawiający wymaga, </w:t>
      </w:r>
      <w:r w:rsidR="00831DB4" w:rsidRPr="00DA1E2D">
        <w:rPr>
          <w:rFonts w:cstheme="minorHAnsi"/>
        </w:rPr>
        <w:t xml:space="preserve">aby </w:t>
      </w:r>
      <w:r w:rsidRPr="00DA1E2D">
        <w:rPr>
          <w:rFonts w:cstheme="minorHAnsi"/>
        </w:rPr>
        <w:t>uruchomione warianty ubezpieczenia były dostępne dla potencjalnych uczestników programu</w:t>
      </w:r>
      <w:r w:rsidR="00F95D4E" w:rsidRPr="00DA1E2D">
        <w:rPr>
          <w:rFonts w:cstheme="minorHAnsi"/>
        </w:rPr>
        <w:t xml:space="preserve"> przez cały okres </w:t>
      </w:r>
      <w:r w:rsidR="008C7FA3" w:rsidRPr="00DA1E2D">
        <w:rPr>
          <w:rFonts w:cstheme="minorHAnsi"/>
        </w:rPr>
        <w:t xml:space="preserve">wykonywania przedmiotu zamówienia (niezależnie od liczby </w:t>
      </w:r>
      <w:r w:rsidR="00FA5524" w:rsidRPr="00DA1E2D">
        <w:rPr>
          <w:rFonts w:cstheme="minorHAnsi"/>
        </w:rPr>
        <w:t>uczestników objętych danym wariantem)</w:t>
      </w:r>
      <w:r w:rsidR="002A71B6" w:rsidRPr="00DA1E2D">
        <w:t xml:space="preserve">. </w:t>
      </w:r>
    </w:p>
    <w:p w14:paraId="60E525ED" w14:textId="200F11E3" w:rsidR="00031764" w:rsidRPr="00DA1E2D" w:rsidRDefault="00970D06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Zamawiający wymaga, aby każdy uczestnik programu miał prawo zmiany wariantu </w:t>
      </w:r>
      <w:r w:rsidR="0020282F">
        <w:rPr>
          <w:rFonts w:cstheme="minorHAnsi"/>
        </w:rPr>
        <w:t xml:space="preserve">przynajmniej </w:t>
      </w:r>
      <w:r w:rsidRPr="00DA1E2D">
        <w:rPr>
          <w:rFonts w:cstheme="minorHAnsi"/>
        </w:rPr>
        <w:t>w rocznicę polisy</w:t>
      </w:r>
      <w:r w:rsidR="00031764" w:rsidRPr="00DA1E2D">
        <w:rPr>
          <w:rFonts w:cstheme="minorHAnsi"/>
        </w:rPr>
        <w:t>.</w:t>
      </w:r>
    </w:p>
    <w:p w14:paraId="5C84DD58" w14:textId="592AFAD2" w:rsidR="00BA3EC6" w:rsidRPr="00DA1E2D" w:rsidRDefault="00542CC9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Zamawiający wymaga </w:t>
      </w:r>
      <w:r w:rsidR="00E53C3D" w:rsidRPr="00DA1E2D">
        <w:rPr>
          <w:rFonts w:cstheme="minorHAnsi"/>
        </w:rPr>
        <w:t xml:space="preserve">przyjęcia następującej definicji daty nabycia </w:t>
      </w:r>
      <w:r w:rsidRPr="00DA1E2D">
        <w:rPr>
          <w:rFonts w:cstheme="minorHAnsi"/>
        </w:rPr>
        <w:t>uprawnienia do programu</w:t>
      </w:r>
      <w:r w:rsidR="00E53C3D" w:rsidRPr="00DA1E2D">
        <w:rPr>
          <w:rFonts w:cstheme="minorHAnsi"/>
        </w:rPr>
        <w:t>:</w:t>
      </w:r>
      <w:r w:rsidRPr="00DA1E2D">
        <w:rPr>
          <w:rFonts w:cstheme="minorHAnsi"/>
        </w:rPr>
        <w:t xml:space="preserve"> </w:t>
      </w:r>
    </w:p>
    <w:p w14:paraId="00123160" w14:textId="321CD43E" w:rsidR="00542CC9" w:rsidRPr="00DA1E2D" w:rsidRDefault="00BA3EC6" w:rsidP="00DA1E2D">
      <w:pPr>
        <w:pStyle w:val="Akapitzlist"/>
        <w:spacing w:after="60" w:line="276" w:lineRule="auto"/>
        <w:ind w:left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„</w:t>
      </w:r>
      <w:r w:rsidR="00E53C3D" w:rsidRPr="00DA1E2D">
        <w:rPr>
          <w:rFonts w:cstheme="minorHAnsi"/>
        </w:rPr>
        <w:t>Z</w:t>
      </w:r>
      <w:r w:rsidR="00542CC9" w:rsidRPr="00DA1E2D">
        <w:rPr>
          <w:rFonts w:cstheme="minorHAnsi"/>
        </w:rPr>
        <w:t xml:space="preserve">a datę nabycia uprawnienia do programu przyjmuje się późniejszą z dat: </w:t>
      </w:r>
    </w:p>
    <w:p w14:paraId="54FCE7EC" w14:textId="01A7AAE7" w:rsidR="00542CC9" w:rsidRPr="00DA1E2D" w:rsidRDefault="00542CC9" w:rsidP="00DA1E2D">
      <w:pPr>
        <w:pStyle w:val="Akapitzlist"/>
        <w:numPr>
          <w:ilvl w:val="0"/>
          <w:numId w:val="9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w przypadku pracownika: (i) datę uruchomienia grupowego ubezpieczenia na życie</w:t>
      </w:r>
      <w:r w:rsidR="00CA488E">
        <w:rPr>
          <w:rFonts w:cstheme="minorHAnsi"/>
        </w:rPr>
        <w:t xml:space="preserve">, </w:t>
      </w:r>
      <w:r w:rsidRPr="00DA1E2D">
        <w:rPr>
          <w:rFonts w:cstheme="minorHAnsi"/>
        </w:rPr>
        <w:t>jako wynik niniejszego postępowania, (ii) datę nawiązania stosunku pracy z PARP</w:t>
      </w:r>
    </w:p>
    <w:p w14:paraId="055A1D7C" w14:textId="4F754FCE" w:rsidR="00542CC9" w:rsidRPr="00DA1E2D" w:rsidRDefault="00542CC9" w:rsidP="00DA1E2D">
      <w:pPr>
        <w:pStyle w:val="Akapitzlist"/>
        <w:numPr>
          <w:ilvl w:val="0"/>
          <w:numId w:val="9"/>
        </w:numPr>
        <w:spacing w:after="60" w:line="276" w:lineRule="auto"/>
        <w:ind w:left="714" w:hanging="357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w przypadku członka rodziny: (i) datę uruchomienia grupowego ubezpieczenia na życie</w:t>
      </w:r>
      <w:r w:rsidR="00CA488E">
        <w:rPr>
          <w:rFonts w:cstheme="minorHAnsi"/>
        </w:rPr>
        <w:t xml:space="preserve">, </w:t>
      </w:r>
      <w:r w:rsidRPr="00DA1E2D">
        <w:rPr>
          <w:rFonts w:cstheme="minorHAnsi"/>
        </w:rPr>
        <w:t xml:space="preserve"> jako wynik niniejszego postępowania, (ii) datę nawiązania stosunku pracy z PARP przez pracownika, lub odpowiednio (iii) datę zawarcia związku małżeńskiego w przypadku małżonka, datę wskazania partnera w deklaracji przystąpienia w przypadku partnera, datę osiągnięcia pełnoletniości w przypadku dziecka</w:t>
      </w:r>
      <w:r w:rsidR="00BA3EC6" w:rsidRPr="00DA1E2D">
        <w:rPr>
          <w:rFonts w:cstheme="minorHAnsi"/>
        </w:rPr>
        <w:t>”</w:t>
      </w:r>
    </w:p>
    <w:p w14:paraId="7A6EAB38" w14:textId="71BF8B5B" w:rsidR="000E38DD" w:rsidRPr="00DA1E2D" w:rsidRDefault="000E38DD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O</w:t>
      </w:r>
      <w:r w:rsidR="002A5BDE" w:rsidRPr="00DA1E2D">
        <w:rPr>
          <w:rFonts w:cstheme="minorHAnsi"/>
        </w:rPr>
        <w:t>soby</w:t>
      </w:r>
      <w:r w:rsidRPr="00DA1E2D">
        <w:rPr>
          <w:rFonts w:cstheme="minorHAnsi"/>
        </w:rPr>
        <w:t xml:space="preserve"> posiadające prawo przystąpienia do programu mogą </w:t>
      </w:r>
      <w:r w:rsidR="008F4EA9" w:rsidRPr="00DA1E2D">
        <w:rPr>
          <w:rFonts w:cstheme="minorHAnsi"/>
        </w:rPr>
        <w:t>przystąpić w dowolnym</w:t>
      </w:r>
      <w:r w:rsidRPr="00DA1E2D">
        <w:rPr>
          <w:rFonts w:cstheme="minorHAnsi"/>
        </w:rPr>
        <w:t xml:space="preserve"> momencie z zastrzeżeniem </w:t>
      </w:r>
      <w:r w:rsidR="008F4EA9" w:rsidRPr="00DA1E2D">
        <w:rPr>
          <w:rFonts w:cstheme="minorHAnsi"/>
        </w:rPr>
        <w:t xml:space="preserve">innych </w:t>
      </w:r>
      <w:r w:rsidRPr="00DA1E2D">
        <w:rPr>
          <w:rFonts w:cstheme="minorHAnsi"/>
        </w:rPr>
        <w:t>warunków programu grupowego ubezpieczenia na życie</w:t>
      </w:r>
      <w:r w:rsidR="008F4EA9" w:rsidRPr="00DA1E2D">
        <w:rPr>
          <w:rFonts w:cstheme="minorHAnsi"/>
        </w:rPr>
        <w:t xml:space="preserve">. </w:t>
      </w:r>
      <w:r w:rsidRPr="00DA1E2D">
        <w:rPr>
          <w:rFonts w:cstheme="minorHAnsi"/>
        </w:rPr>
        <w:t xml:space="preserve"> </w:t>
      </w:r>
    </w:p>
    <w:p w14:paraId="7BD078F2" w14:textId="73DBA532" w:rsidR="00400AAF" w:rsidRPr="00DA1E2D" w:rsidRDefault="00B64E9B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Zamawiający wymaga</w:t>
      </w:r>
      <w:r w:rsidR="004203DD">
        <w:rPr>
          <w:rFonts w:cstheme="minorHAnsi"/>
        </w:rPr>
        <w:t>,</w:t>
      </w:r>
      <w:r w:rsidRPr="00DA1E2D">
        <w:rPr>
          <w:rFonts w:cstheme="minorHAnsi"/>
        </w:rPr>
        <w:t xml:space="preserve"> aby przystąpienie do ubezpieczenia nie było </w:t>
      </w:r>
      <w:r w:rsidR="00732C76" w:rsidRPr="00DA1E2D">
        <w:rPr>
          <w:rFonts w:cstheme="minorHAnsi"/>
        </w:rPr>
        <w:t>po</w:t>
      </w:r>
      <w:r w:rsidRPr="00DA1E2D">
        <w:rPr>
          <w:rFonts w:cstheme="minorHAnsi"/>
        </w:rPr>
        <w:t>prz</w:t>
      </w:r>
      <w:r w:rsidR="00732C76" w:rsidRPr="00DA1E2D">
        <w:rPr>
          <w:rFonts w:cstheme="minorHAnsi"/>
        </w:rPr>
        <w:t>e</w:t>
      </w:r>
      <w:r w:rsidRPr="00DA1E2D">
        <w:rPr>
          <w:rFonts w:cstheme="minorHAnsi"/>
        </w:rPr>
        <w:t xml:space="preserve">dzone badaniem zdolności ubezpieczeniowej </w:t>
      </w:r>
      <w:r w:rsidR="005767B7" w:rsidRPr="00DA1E2D">
        <w:rPr>
          <w:rFonts w:cstheme="minorHAnsi"/>
        </w:rPr>
        <w:t>(rezygnacja z</w:t>
      </w:r>
      <w:r w:rsidR="000E3FC4" w:rsidRPr="00DA1E2D">
        <w:rPr>
          <w:rFonts w:cstheme="minorHAnsi"/>
        </w:rPr>
        <w:t xml:space="preserve"> oświadczeń,</w:t>
      </w:r>
      <w:r w:rsidR="005767B7" w:rsidRPr="00DA1E2D">
        <w:rPr>
          <w:rFonts w:cstheme="minorHAnsi"/>
        </w:rPr>
        <w:t xml:space="preserve"> ankiet</w:t>
      </w:r>
      <w:r w:rsidR="00487126" w:rsidRPr="00DA1E2D">
        <w:rPr>
          <w:rFonts w:cstheme="minorHAnsi"/>
        </w:rPr>
        <w:t>, badań</w:t>
      </w:r>
      <w:r w:rsidR="005767B7" w:rsidRPr="00DA1E2D">
        <w:rPr>
          <w:rFonts w:cstheme="minorHAnsi"/>
        </w:rPr>
        <w:t xml:space="preserve"> medycznych)</w:t>
      </w:r>
      <w:r w:rsidR="00253348" w:rsidRPr="00DA1E2D">
        <w:rPr>
          <w:rFonts w:cstheme="minorHAnsi"/>
        </w:rPr>
        <w:t>.</w:t>
      </w:r>
    </w:p>
    <w:p w14:paraId="31BDA65A" w14:textId="4F855D26" w:rsidR="00B06B1F" w:rsidRPr="00DA1E2D" w:rsidRDefault="00B06B1F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  <w:rPr>
          <w:rFonts w:cstheme="minorHAnsi"/>
        </w:rPr>
      </w:pPr>
      <w:bookmarkStart w:id="1" w:name="_Hlk3213302"/>
      <w:r w:rsidRPr="00DA1E2D">
        <w:rPr>
          <w:rFonts w:cstheme="minorHAnsi"/>
        </w:rPr>
        <w:t>Zamawiający wymaga, aby Wykonawca zobowiązał się do przyjęcia do ubezpieczenia wszystkich osób, w tym także przebywających na zwolnieniach lekarskich, w szpitalach, w stosunku</w:t>
      </w:r>
      <w:r w:rsidR="004203DD">
        <w:rPr>
          <w:rFonts w:cstheme="minorHAnsi"/>
        </w:rPr>
        <w:t>,</w:t>
      </w:r>
      <w:r w:rsidRPr="00DA1E2D">
        <w:rPr>
          <w:rFonts w:cstheme="minorHAnsi"/>
        </w:rPr>
        <w:t xml:space="preserve"> do których orzeczono niezdolność do pracy, przebywających na urlopach macierzyńskich, </w:t>
      </w:r>
      <w:r w:rsidR="00743667">
        <w:rPr>
          <w:rFonts w:cstheme="minorHAnsi"/>
        </w:rPr>
        <w:t>wychowawczych, ojcowskich</w:t>
      </w:r>
      <w:r w:rsidR="006E720C">
        <w:rPr>
          <w:rFonts w:cstheme="minorHAnsi"/>
        </w:rPr>
        <w:t>, urlopach bezpłatnych</w:t>
      </w:r>
      <w:r w:rsidRPr="00DA1E2D">
        <w:rPr>
          <w:rFonts w:cstheme="minorHAnsi"/>
        </w:rPr>
        <w:t xml:space="preserve"> - o ile osoby te były ubezpieczone w </w:t>
      </w:r>
      <w:r w:rsidR="002077D1" w:rsidRPr="00DA1E2D">
        <w:rPr>
          <w:rFonts w:cstheme="minorHAnsi"/>
        </w:rPr>
        <w:t xml:space="preserve">ramach </w:t>
      </w:r>
      <w:r w:rsidRPr="00DA1E2D">
        <w:rPr>
          <w:rFonts w:cstheme="minorHAnsi"/>
        </w:rPr>
        <w:t>dotychczas funkcjonujących u Zamawiającego umów ubezpieczenia grupowego na życie i pod warunkiem zachowania ciągłości ochrony ubezpieczeniowej</w:t>
      </w:r>
      <w:r w:rsidR="00BD4124" w:rsidRPr="00DA1E2D">
        <w:rPr>
          <w:rFonts w:cstheme="minorHAnsi"/>
        </w:rPr>
        <w:t xml:space="preserve"> </w:t>
      </w:r>
      <w:r w:rsidR="00025704" w:rsidRPr="00DA1E2D">
        <w:rPr>
          <w:rFonts w:cstheme="minorHAnsi"/>
        </w:rPr>
        <w:t>(rozumianej</w:t>
      </w:r>
      <w:r w:rsidR="00CA488E">
        <w:rPr>
          <w:rFonts w:cstheme="minorHAnsi"/>
        </w:rPr>
        <w:t>,</w:t>
      </w:r>
      <w:r w:rsidR="00025704" w:rsidRPr="00DA1E2D">
        <w:rPr>
          <w:rFonts w:cstheme="minorHAnsi"/>
        </w:rPr>
        <w:t xml:space="preserve"> jako brak przerwy w ochronie ubezpieczeniowej)</w:t>
      </w:r>
      <w:r w:rsidRPr="00DA1E2D">
        <w:rPr>
          <w:rFonts w:cstheme="minorHAnsi"/>
        </w:rPr>
        <w:t xml:space="preserve">. </w:t>
      </w:r>
    </w:p>
    <w:p w14:paraId="2644053B" w14:textId="63E6AA91" w:rsidR="000054D7" w:rsidRPr="00DA1E2D" w:rsidRDefault="000054D7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Zamawiający wymaga zniesienia wyłączenia ochrony dotyczącego stanów uprzednio istniejących (tzw. pre-existing) dla osób wcześniej ubezpieczonych w ramach programów obecnie funkcjonujących w PARP w zakresie dotychczasowym i przystępujących do nowego programu na zasadzie ciągłości ubezpieczeniowej </w:t>
      </w:r>
      <w:bookmarkStart w:id="2" w:name="_Hlk6668016"/>
      <w:r w:rsidRPr="00DA1E2D">
        <w:rPr>
          <w:rFonts w:cstheme="minorHAnsi"/>
        </w:rPr>
        <w:t>(rozumianej</w:t>
      </w:r>
      <w:r w:rsidR="004B2B86">
        <w:rPr>
          <w:rFonts w:cstheme="minorHAnsi"/>
        </w:rPr>
        <w:t>,</w:t>
      </w:r>
      <w:r w:rsidRPr="00DA1E2D">
        <w:rPr>
          <w:rFonts w:cstheme="minorHAnsi"/>
        </w:rPr>
        <w:t xml:space="preserve"> jako brak przerwy w ochronie ubezpieczeniowej).</w:t>
      </w:r>
      <w:bookmarkEnd w:id="2"/>
    </w:p>
    <w:bookmarkEnd w:id="1"/>
    <w:p w14:paraId="312745EA" w14:textId="51625804" w:rsidR="00012DAE" w:rsidRPr="00DA1E2D" w:rsidRDefault="006F4866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Zamawiający wymaga z</w:t>
      </w:r>
      <w:r w:rsidR="005767B7" w:rsidRPr="00DA1E2D">
        <w:rPr>
          <w:rFonts w:cstheme="minorHAnsi"/>
        </w:rPr>
        <w:t>niesieni</w:t>
      </w:r>
      <w:r w:rsidRPr="00DA1E2D">
        <w:rPr>
          <w:rFonts w:cstheme="minorHAnsi"/>
        </w:rPr>
        <w:t>a</w:t>
      </w:r>
      <w:r w:rsidR="005767B7" w:rsidRPr="00DA1E2D">
        <w:rPr>
          <w:rFonts w:cstheme="minorHAnsi"/>
        </w:rPr>
        <w:t xml:space="preserve"> wszelkich karencji dla osób przystępujących do programu w ciągu pierwszych 3 miesięcy od daty nabycia uprawnienia do programu</w:t>
      </w:r>
      <w:r w:rsidR="00012DAE" w:rsidRPr="00DA1E2D">
        <w:rPr>
          <w:rFonts w:cstheme="minorHAnsi"/>
        </w:rPr>
        <w:t>.</w:t>
      </w:r>
      <w:r w:rsidR="00410329" w:rsidRPr="00DA1E2D">
        <w:rPr>
          <w:rFonts w:cstheme="minorHAnsi"/>
        </w:rPr>
        <w:t xml:space="preserve"> Karencji nie stosuje się do zdarzeń będących następstwami nieszczęśliwych wypadków.</w:t>
      </w:r>
      <w:r w:rsidR="00574424" w:rsidRPr="00DA1E2D">
        <w:t xml:space="preserve"> </w:t>
      </w:r>
      <w:r w:rsidR="00574424" w:rsidRPr="00DA1E2D">
        <w:rPr>
          <w:rFonts w:cstheme="minorHAnsi"/>
        </w:rPr>
        <w:t>W pozostałych przypadkach zastosowanie mają zapisy OWU Wykonawcy dotyczące okresów karencji.</w:t>
      </w:r>
    </w:p>
    <w:p w14:paraId="1943C57D" w14:textId="771BC48A" w:rsidR="00874509" w:rsidRPr="00DA1E2D" w:rsidRDefault="001F176C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Przez pojęcie „</w:t>
      </w:r>
      <w:r w:rsidR="00C85A8B" w:rsidRPr="00DA1E2D">
        <w:rPr>
          <w:rFonts w:cstheme="minorHAnsi"/>
        </w:rPr>
        <w:t>przystąpienia do</w:t>
      </w:r>
      <w:r w:rsidR="001D1CEC" w:rsidRPr="00DA1E2D">
        <w:rPr>
          <w:rFonts w:cstheme="minorHAnsi"/>
        </w:rPr>
        <w:t xml:space="preserve"> </w:t>
      </w:r>
      <w:r w:rsidR="00880C7D" w:rsidRPr="00DA1E2D">
        <w:rPr>
          <w:rFonts w:cstheme="minorHAnsi"/>
        </w:rPr>
        <w:t>grupowego ubezpieczenia na życie w ciągu</w:t>
      </w:r>
      <w:r w:rsidR="00C85A8B" w:rsidRPr="00DA1E2D">
        <w:rPr>
          <w:rFonts w:cstheme="minorHAnsi"/>
        </w:rPr>
        <w:t xml:space="preserve"> </w:t>
      </w:r>
      <w:r w:rsidRPr="00DA1E2D">
        <w:rPr>
          <w:rFonts w:cstheme="minorHAnsi"/>
        </w:rPr>
        <w:t xml:space="preserve">pierwszych 3 miesięcy od daty nabycia uprawnień do programu” </w:t>
      </w:r>
      <w:r w:rsidR="00880C7D" w:rsidRPr="00DA1E2D">
        <w:rPr>
          <w:rFonts w:cstheme="minorHAnsi"/>
        </w:rPr>
        <w:t>należy rozumieć pierwsze trzy możliwe daty przystąpienia do programu</w:t>
      </w:r>
      <w:r w:rsidR="00F67BFE" w:rsidRPr="00DA1E2D">
        <w:rPr>
          <w:rFonts w:cstheme="minorHAnsi"/>
        </w:rPr>
        <w:t xml:space="preserve">. Datą przystąpienia do programu jest zawsze </w:t>
      </w:r>
      <w:r w:rsidR="003F2D53" w:rsidRPr="00DA1E2D">
        <w:rPr>
          <w:rFonts w:cstheme="minorHAnsi"/>
        </w:rPr>
        <w:t>1-szy dzień miesiąca.</w:t>
      </w:r>
      <w:r w:rsidR="003C7048" w:rsidRPr="00DA1E2D">
        <w:rPr>
          <w:rFonts w:cstheme="minorHAnsi"/>
        </w:rPr>
        <w:t xml:space="preserve"> </w:t>
      </w:r>
    </w:p>
    <w:p w14:paraId="44EA372C" w14:textId="232A6B59" w:rsidR="00BE67B9" w:rsidRPr="00DA1E2D" w:rsidRDefault="005D0B6D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  <w:rPr>
          <w:rFonts w:cstheme="minorHAnsi"/>
        </w:rPr>
      </w:pPr>
      <w:bookmarkStart w:id="3" w:name="_Hlk3214384"/>
      <w:r w:rsidRPr="00DA1E2D">
        <w:t xml:space="preserve">Zamawiający wymaga, aby okres wyłączenia ochrony ubezpieczeniowej w przypadku śmierci Ubezpieczonego w następstwie samobójstwa był nie dłuższy niż 6 miesięcy od daty rozpoczęcia ochrony ubezpieczeniowej. </w:t>
      </w:r>
      <w:r w:rsidR="00EE1843" w:rsidRPr="00DA1E2D">
        <w:t xml:space="preserve">Jeżeli osoba była wcześniej ubezpieczona, to Wykonawca zaliczy do </w:t>
      </w:r>
      <w:r w:rsidR="00EE1843" w:rsidRPr="00DA1E2D">
        <w:lastRenderedPageBreak/>
        <w:t>okresu wyłączenia odpowiedzialności z tytułu zgonu Ubezpieczonego w wyniku samobójstwa staż Ubezpieczonego w ramach poprzedniej umowy grupowego ubezpieczenia na życie</w:t>
      </w:r>
      <w:r w:rsidR="004B2B86">
        <w:t>,</w:t>
      </w:r>
      <w:r w:rsidR="00EE1843" w:rsidRPr="00DA1E2D">
        <w:t xml:space="preserve"> którą Ubezpieczony był objęty, z zastrzeżeniem konieczności zachowania ciągłości ochrony i możliwością ograniczenia wysokości świadczenia przez okres pierwszych 6 miesięcy ochrony ubezpieczeniowej do kwoty określonej w poprzedniej umowie.</w:t>
      </w:r>
      <w:r w:rsidR="00EE1843" w:rsidRPr="00DA1E2D">
        <w:rPr>
          <w:rFonts w:cstheme="minorHAnsi"/>
          <w:color w:val="FF0000"/>
        </w:rPr>
        <w:t xml:space="preserve"> </w:t>
      </w:r>
    </w:p>
    <w:bookmarkEnd w:id="3"/>
    <w:p w14:paraId="44776C45" w14:textId="1AF6C106" w:rsidR="006420D3" w:rsidRPr="00DA1E2D" w:rsidRDefault="006420D3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Zamawiający wymaga</w:t>
      </w:r>
      <w:r w:rsidR="00D24C0F">
        <w:rPr>
          <w:rFonts w:cstheme="minorHAnsi"/>
        </w:rPr>
        <w:t>,</w:t>
      </w:r>
      <w:r w:rsidRPr="00DA1E2D">
        <w:rPr>
          <w:rFonts w:cstheme="minorHAnsi"/>
        </w:rPr>
        <w:t xml:space="preserve"> aby </w:t>
      </w:r>
      <w:r w:rsidR="00992FDD" w:rsidRPr="00DA1E2D">
        <w:rPr>
          <w:rFonts w:cstheme="minorHAnsi"/>
        </w:rPr>
        <w:t xml:space="preserve">stosowane przez Wykonawcę </w:t>
      </w:r>
      <w:r w:rsidRPr="00DA1E2D">
        <w:rPr>
          <w:rFonts w:cstheme="minorHAnsi"/>
        </w:rPr>
        <w:t>ograniczeni</w:t>
      </w:r>
      <w:r w:rsidR="00992FDD" w:rsidRPr="00DA1E2D">
        <w:rPr>
          <w:rFonts w:cstheme="minorHAnsi"/>
        </w:rPr>
        <w:t>a</w:t>
      </w:r>
      <w:r w:rsidRPr="00DA1E2D">
        <w:rPr>
          <w:rFonts w:cstheme="minorHAnsi"/>
        </w:rPr>
        <w:t xml:space="preserve"> odpowiedzialności </w:t>
      </w:r>
      <w:r w:rsidR="00D33F59" w:rsidRPr="00DA1E2D">
        <w:rPr>
          <w:rFonts w:cstheme="minorHAnsi"/>
        </w:rPr>
        <w:t xml:space="preserve">związane z następstwami nieszczęśliwych wypadków spowodowanych </w:t>
      </w:r>
      <w:r w:rsidR="00906C7D" w:rsidRPr="00DA1E2D">
        <w:rPr>
          <w:rFonts w:cstheme="minorHAnsi"/>
        </w:rPr>
        <w:t>udziałem w zajęciach rekreacyjnych, sportowych, hobbystycznych, etc.</w:t>
      </w:r>
      <w:r w:rsidR="00233118" w:rsidRPr="00DA1E2D">
        <w:rPr>
          <w:rFonts w:cstheme="minorHAnsi"/>
        </w:rPr>
        <w:t xml:space="preserve"> dotyczyło jedynie</w:t>
      </w:r>
      <w:r w:rsidR="0065258A" w:rsidRPr="00DA1E2D">
        <w:rPr>
          <w:rFonts w:cstheme="minorHAnsi"/>
        </w:rPr>
        <w:t xml:space="preserve"> sportów </w:t>
      </w:r>
      <w:r w:rsidR="00FB4427" w:rsidRPr="00DA1E2D">
        <w:rPr>
          <w:rFonts w:cstheme="minorHAnsi"/>
        </w:rPr>
        <w:t xml:space="preserve">uprawianych </w:t>
      </w:r>
      <w:r w:rsidR="00233118" w:rsidRPr="00DA1E2D">
        <w:rPr>
          <w:rFonts w:cstheme="minorHAnsi"/>
        </w:rPr>
        <w:t xml:space="preserve">wyczynowo </w:t>
      </w:r>
      <w:r w:rsidR="0065258A" w:rsidRPr="00DA1E2D">
        <w:rPr>
          <w:rFonts w:cstheme="minorHAnsi"/>
        </w:rPr>
        <w:t>lub</w:t>
      </w:r>
      <w:r w:rsidR="00233118" w:rsidRPr="00DA1E2D">
        <w:rPr>
          <w:rFonts w:cstheme="minorHAnsi"/>
        </w:rPr>
        <w:t xml:space="preserve"> zawodowo </w:t>
      </w:r>
      <w:r w:rsidR="0065258A" w:rsidRPr="00DA1E2D">
        <w:rPr>
          <w:rFonts w:cstheme="minorHAnsi"/>
        </w:rPr>
        <w:t>(tj. w ramach sekcji lub klubów sportowych)</w:t>
      </w:r>
      <w:r w:rsidR="00802753" w:rsidRPr="00DA1E2D">
        <w:rPr>
          <w:rFonts w:cstheme="minorHAnsi"/>
        </w:rPr>
        <w:t>.</w:t>
      </w:r>
      <w:r w:rsidR="0065258A" w:rsidRPr="00DA1E2D">
        <w:rPr>
          <w:rFonts w:cstheme="minorHAnsi"/>
        </w:rPr>
        <w:t xml:space="preserve"> </w:t>
      </w:r>
    </w:p>
    <w:p w14:paraId="05D82FE4" w14:textId="5CC2CFB9" w:rsidR="00D66C28" w:rsidRPr="00DA1E2D" w:rsidRDefault="000C350A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</w:pPr>
      <w:r w:rsidRPr="00DA1E2D">
        <w:rPr>
          <w:rFonts w:cstheme="minorHAnsi"/>
        </w:rPr>
        <w:t xml:space="preserve">Zamawiający wymaga, aby wykonawca zagwarantował możliwość </w:t>
      </w:r>
      <w:r w:rsidR="00DF380E" w:rsidRPr="00DA1E2D">
        <w:rPr>
          <w:rFonts w:cstheme="minorHAnsi"/>
        </w:rPr>
        <w:t>indywidualnej kontynuacji ubezpieczenia grupowego na życie osobom ubezpieczonym w ubezpieczeniu grupowym</w:t>
      </w:r>
      <w:r w:rsidR="00DE1E93" w:rsidRPr="00DA1E2D">
        <w:rPr>
          <w:rFonts w:cstheme="minorHAnsi"/>
        </w:rPr>
        <w:t xml:space="preserve"> zgodnie ze standardową ofertą Wykonawcy w tym zakresie</w:t>
      </w:r>
      <w:r w:rsidR="00E72E5F" w:rsidRPr="00DA1E2D">
        <w:rPr>
          <w:rFonts w:cstheme="minorHAnsi"/>
        </w:rPr>
        <w:t xml:space="preserve"> dostępną na dzień </w:t>
      </w:r>
      <w:r w:rsidR="00787945" w:rsidRPr="00DA1E2D">
        <w:rPr>
          <w:rFonts w:cstheme="minorHAnsi"/>
        </w:rPr>
        <w:t xml:space="preserve">zakończenia ochrony dla danej osoby ubezpieczonej w ramach </w:t>
      </w:r>
      <w:r w:rsidR="00FB6EC7" w:rsidRPr="00DA1E2D">
        <w:rPr>
          <w:rFonts w:cstheme="minorHAnsi"/>
        </w:rPr>
        <w:t>ubezpieczenia grupowego</w:t>
      </w:r>
      <w:r w:rsidR="00B15057" w:rsidRPr="00DA1E2D">
        <w:rPr>
          <w:rFonts w:cstheme="minorHAnsi"/>
        </w:rPr>
        <w:t>. Taka możliwość powinna być</w:t>
      </w:r>
      <w:r w:rsidR="00DF380E" w:rsidRPr="00DA1E2D">
        <w:rPr>
          <w:rFonts w:cstheme="minorHAnsi"/>
        </w:rPr>
        <w:t xml:space="preserve"> </w:t>
      </w:r>
      <w:r w:rsidR="00FB6EC7" w:rsidRPr="00DA1E2D">
        <w:rPr>
          <w:rFonts w:cstheme="minorHAnsi"/>
        </w:rPr>
        <w:t xml:space="preserve">zagwarantowana </w:t>
      </w:r>
      <w:r w:rsidR="00DF380E" w:rsidRPr="00DA1E2D">
        <w:rPr>
          <w:rFonts w:cstheme="minorHAnsi"/>
        </w:rPr>
        <w:t>przez co najmniej 3 miesiące</w:t>
      </w:r>
      <w:r w:rsidR="00EA115B" w:rsidRPr="00DA1E2D">
        <w:rPr>
          <w:rFonts w:cstheme="minorHAnsi"/>
        </w:rPr>
        <w:t xml:space="preserve"> od momentu </w:t>
      </w:r>
      <w:r w:rsidR="00AF36B4" w:rsidRPr="00DA1E2D">
        <w:rPr>
          <w:rFonts w:cstheme="minorHAnsi"/>
        </w:rPr>
        <w:t>zakończenia ochrony w ramach ubezpieczenia grupowego</w:t>
      </w:r>
      <w:r w:rsidR="00DF380E" w:rsidRPr="00DA1E2D">
        <w:rPr>
          <w:rFonts w:cstheme="minorHAnsi"/>
        </w:rPr>
        <w:t xml:space="preserve">. </w:t>
      </w:r>
    </w:p>
    <w:p w14:paraId="7B343515" w14:textId="54C788CE" w:rsidR="00D66C28" w:rsidRPr="00DA1E2D" w:rsidRDefault="00D66C28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</w:pPr>
      <w:r w:rsidRPr="00DA1E2D">
        <w:rPr>
          <w:rFonts w:cstheme="minorHAnsi"/>
        </w:rPr>
        <w:t>Do zagadnień uregulowanych w OPZ nie będą miały zastosowania OWU Wykonawcy. W konsekwencji Zamawiający nie będzie badał zgodności OWU z OPZ w powyższym zakresie, ponieważ stosowanie OWU jest wyłączone. Wykonawca nie będzie zobowiązany sporządzać aneksów dostosowujących OWU do OPZ i załączać ich do oferty. OWU wykonawcy będą miały zastosowanie wyłącznie:</w:t>
      </w:r>
    </w:p>
    <w:p w14:paraId="618FB8FB" w14:textId="52E514C6" w:rsidR="007D0011" w:rsidRPr="00DA1E2D" w:rsidRDefault="007D0011" w:rsidP="00DA1E2D">
      <w:pPr>
        <w:tabs>
          <w:tab w:val="left" w:pos="851"/>
        </w:tabs>
        <w:spacing w:after="60" w:line="276" w:lineRule="auto"/>
        <w:ind w:left="426"/>
      </w:pPr>
      <w:r w:rsidRPr="00DA1E2D">
        <w:t xml:space="preserve">a) </w:t>
      </w:r>
      <w:r w:rsidR="005D7AB9" w:rsidRPr="00DA1E2D">
        <w:tab/>
      </w:r>
      <w:r w:rsidRPr="00DA1E2D">
        <w:t>w sytuacjach wyraźnie wskazanych w OPZ</w:t>
      </w:r>
    </w:p>
    <w:p w14:paraId="1DF44C7F" w14:textId="21050913" w:rsidR="00DE2E67" w:rsidRPr="00DA1E2D" w:rsidRDefault="007D0011" w:rsidP="00DA1E2D">
      <w:pPr>
        <w:tabs>
          <w:tab w:val="left" w:pos="851"/>
        </w:tabs>
        <w:spacing w:after="60" w:line="276" w:lineRule="auto"/>
        <w:ind w:left="426"/>
      </w:pPr>
      <w:r w:rsidRPr="00DA1E2D">
        <w:t xml:space="preserve">b) </w:t>
      </w:r>
      <w:r w:rsidR="005D7AB9" w:rsidRPr="00DA1E2D">
        <w:tab/>
      </w:r>
      <w:r w:rsidRPr="00DA1E2D">
        <w:t>w zakresie nieuregulowanym w OPZ</w:t>
      </w:r>
      <w:r w:rsidR="00992FDD" w:rsidRPr="00DA1E2D">
        <w:t>.</w:t>
      </w:r>
    </w:p>
    <w:p w14:paraId="5C56989B" w14:textId="38CC3F2F" w:rsidR="002968F6" w:rsidRPr="00DA1E2D" w:rsidRDefault="00DE2E67" w:rsidP="00DA1E2D">
      <w:pPr>
        <w:tabs>
          <w:tab w:val="left" w:pos="851"/>
        </w:tabs>
        <w:spacing w:after="60" w:line="276" w:lineRule="auto"/>
        <w:ind w:left="426"/>
        <w:jc w:val="both"/>
      </w:pPr>
      <w:r w:rsidRPr="00DA1E2D">
        <w:rPr>
          <w:rFonts w:cstheme="minorHAnsi"/>
        </w:rPr>
        <w:t xml:space="preserve">Dodatkowo, zapisy OWU </w:t>
      </w:r>
      <w:r w:rsidR="00253348" w:rsidRPr="00DA1E2D">
        <w:rPr>
          <w:rFonts w:cstheme="minorHAnsi"/>
        </w:rPr>
        <w:t>W</w:t>
      </w:r>
      <w:r w:rsidRPr="00DA1E2D">
        <w:rPr>
          <w:rFonts w:cstheme="minorHAnsi"/>
        </w:rPr>
        <w:t>ykonawcy nie mogą w żaden sposób ograniczać ustaleń wynikających z niniejszego OPZ (zapisy OWU Wykonawcy, z których wynika, iż zakres ubezpieczenia jest węższy niż zakres opisany</w:t>
      </w:r>
      <w:r w:rsidR="00B25F71">
        <w:rPr>
          <w:rFonts w:cstheme="minorHAnsi"/>
        </w:rPr>
        <w:t>,</w:t>
      </w:r>
      <w:r w:rsidRPr="00DA1E2D">
        <w:rPr>
          <w:rFonts w:cstheme="minorHAnsi"/>
        </w:rPr>
        <w:t xml:space="preserve"> jako minimum w niniejszym OPZ, nie mają zastosowania</w:t>
      </w:r>
      <w:r w:rsidR="00D9369E" w:rsidRPr="00DA1E2D">
        <w:rPr>
          <w:rFonts w:cstheme="minorHAnsi"/>
        </w:rPr>
        <w:t>).</w:t>
      </w:r>
    </w:p>
    <w:p w14:paraId="1B96BC5F" w14:textId="77777777" w:rsidR="00A00A3E" w:rsidRPr="00DA1E2D" w:rsidRDefault="00A00A3E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Zamawiający wymaga aby ochrona ubezpieczeniowa świadczona była na całym świecie, 24h. Zamawiający dopuszcza możliwość ograniczeń terytorialnych w przypadku</w:t>
      </w:r>
      <w:r w:rsidRPr="00DA1E2D">
        <w:rPr>
          <w:rFonts w:cs="Calibri"/>
        </w:rPr>
        <w:t>:</w:t>
      </w:r>
    </w:p>
    <w:p w14:paraId="00C53626" w14:textId="1E5B1749" w:rsidR="00A00A3E" w:rsidRPr="00DA1E2D" w:rsidRDefault="00A00A3E" w:rsidP="00DA1E2D">
      <w:pPr>
        <w:pStyle w:val="Akapitzlist"/>
        <w:numPr>
          <w:ilvl w:val="0"/>
          <w:numId w:val="7"/>
        </w:numPr>
        <w:spacing w:after="60" w:line="276" w:lineRule="auto"/>
        <w:contextualSpacing w:val="0"/>
        <w:jc w:val="both"/>
      </w:pPr>
      <w:r w:rsidRPr="00DA1E2D">
        <w:t xml:space="preserve">ryzyka pobytu ubezpieczonego w szpitalu - </w:t>
      </w:r>
      <w:bookmarkStart w:id="4" w:name="_Hlk536177983"/>
      <w:r w:rsidRPr="00DA1E2D">
        <w:t>wówczas zakres terytorialny powinien obejmować co najmniej obsza</w:t>
      </w:r>
      <w:bookmarkEnd w:id="4"/>
      <w:r w:rsidRPr="00DA1E2D">
        <w:t>r EU</w:t>
      </w:r>
      <w:r w:rsidR="00992FDD" w:rsidRPr="00DA1E2D">
        <w:t>,</w:t>
      </w:r>
    </w:p>
    <w:p w14:paraId="28BAF4AC" w14:textId="5939ED8D" w:rsidR="00A00A3E" w:rsidRPr="00DA1E2D" w:rsidRDefault="00A00A3E" w:rsidP="00DA1E2D">
      <w:pPr>
        <w:pStyle w:val="Akapitzlist"/>
        <w:numPr>
          <w:ilvl w:val="0"/>
          <w:numId w:val="7"/>
        </w:numPr>
        <w:spacing w:after="60" w:line="276" w:lineRule="auto"/>
        <w:contextualSpacing w:val="0"/>
        <w:jc w:val="both"/>
      </w:pPr>
      <w:r w:rsidRPr="00DA1E2D">
        <w:t>ryzyka operacji medycznych - wówczas zakres terytorialny powinien obejmować co najmniej obszar RP</w:t>
      </w:r>
      <w:r w:rsidR="00992FDD" w:rsidRPr="00DA1E2D">
        <w:t>,</w:t>
      </w:r>
    </w:p>
    <w:p w14:paraId="27492C0D" w14:textId="279915ED" w:rsidR="00A00A3E" w:rsidRPr="00DA1E2D" w:rsidRDefault="00A00A3E" w:rsidP="00DA1E2D">
      <w:pPr>
        <w:pStyle w:val="Akapitzlist"/>
        <w:numPr>
          <w:ilvl w:val="0"/>
          <w:numId w:val="7"/>
        </w:numPr>
        <w:spacing w:after="60" w:line="276" w:lineRule="auto"/>
        <w:ind w:left="714" w:hanging="357"/>
        <w:contextualSpacing w:val="0"/>
        <w:jc w:val="both"/>
      </w:pPr>
      <w:r w:rsidRPr="00DA1E2D">
        <w:t xml:space="preserve">usług </w:t>
      </w:r>
      <w:r w:rsidR="00C213EB" w:rsidRPr="00DA1E2D">
        <w:t>a</w:t>
      </w:r>
      <w:r w:rsidRPr="00DA1E2D">
        <w:t>ssistance - wówczas zakres terytorialny powinien obejmować co najmniej obszar RP</w:t>
      </w:r>
      <w:r w:rsidR="00992FDD" w:rsidRPr="00DA1E2D">
        <w:t>.</w:t>
      </w:r>
    </w:p>
    <w:p w14:paraId="3D2BAB3A" w14:textId="1548AFB8" w:rsidR="00A00A3E" w:rsidRPr="00DA1E2D" w:rsidRDefault="00A00A3E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Zamawiający wymaga</w:t>
      </w:r>
      <w:r w:rsidR="008460D9">
        <w:rPr>
          <w:rFonts w:cstheme="minorHAnsi"/>
        </w:rPr>
        <w:t>,</w:t>
      </w:r>
      <w:r w:rsidRPr="00DA1E2D">
        <w:rPr>
          <w:rFonts w:cstheme="minorHAnsi"/>
        </w:rPr>
        <w:t xml:space="preserve"> aby okres wypłaty dziennego świadczenia szpitalnego w przypadku ryzyka związanego z pobytem w szpitalu</w:t>
      </w:r>
      <w:r w:rsidR="0001072A">
        <w:rPr>
          <w:rFonts w:cstheme="minorHAnsi"/>
        </w:rPr>
        <w:t xml:space="preserve"> każdego</w:t>
      </w:r>
      <w:r w:rsidRPr="00DA1E2D">
        <w:rPr>
          <w:rFonts w:cstheme="minorHAnsi"/>
        </w:rPr>
        <w:t xml:space="preserve"> ubezpieczonego wynosił co najmniej 180 dni w roku</w:t>
      </w:r>
      <w:r w:rsidR="007212C8" w:rsidRPr="00DA1E2D">
        <w:rPr>
          <w:rFonts w:cstheme="minorHAnsi"/>
        </w:rPr>
        <w:t xml:space="preserve"> obowiązywania umowy ubezpieczenia.</w:t>
      </w:r>
      <w:r w:rsidRPr="00DA1E2D">
        <w:rPr>
          <w:rFonts w:cstheme="minorHAnsi"/>
        </w:rPr>
        <w:t xml:space="preserve"> </w:t>
      </w:r>
      <w:r w:rsidR="00080F7D" w:rsidRPr="00DA1E2D">
        <w:rPr>
          <w:rFonts w:eastAsia="Times New Roman" w:cs="Times New Roman"/>
        </w:rPr>
        <w:t>Wykonawca nie może wprowadzać ograniczenia liczby pobytów w szpitalu i ograniczenia ze względu na rodzaj oddziału</w:t>
      </w:r>
      <w:r w:rsidR="008F0120">
        <w:rPr>
          <w:rFonts w:eastAsia="Times New Roman" w:cs="Times New Roman"/>
        </w:rPr>
        <w:t>,</w:t>
      </w:r>
      <w:r w:rsidR="00080F7D" w:rsidRPr="00DA1E2D">
        <w:rPr>
          <w:rFonts w:eastAsia="Times New Roman" w:cs="Times New Roman"/>
        </w:rPr>
        <w:t xml:space="preserve"> na którym przebywał ubezpieczony.</w:t>
      </w:r>
    </w:p>
    <w:p w14:paraId="6EF32846" w14:textId="76BA6DB9" w:rsidR="006F7E7C" w:rsidRPr="00DA1E2D" w:rsidRDefault="006F7E7C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Zamawiający wymaga, aby wszystkie postanowienia</w:t>
      </w:r>
      <w:r w:rsidR="00BF3894" w:rsidRPr="00DA1E2D">
        <w:rPr>
          <w:rFonts w:cstheme="minorHAnsi"/>
        </w:rPr>
        <w:t xml:space="preserve"> oferty oraz OWU Wykonawcy</w:t>
      </w:r>
      <w:r w:rsidRPr="00DA1E2D">
        <w:rPr>
          <w:rFonts w:cstheme="minorHAnsi"/>
        </w:rPr>
        <w:t xml:space="preserve"> dotycząc</w:t>
      </w:r>
      <w:r w:rsidR="00BF3894" w:rsidRPr="00DA1E2D">
        <w:rPr>
          <w:rFonts w:cstheme="minorHAnsi"/>
        </w:rPr>
        <w:t>e</w:t>
      </w:r>
      <w:r w:rsidRPr="00DA1E2D">
        <w:rPr>
          <w:rFonts w:cstheme="minorHAnsi"/>
        </w:rPr>
        <w:t xml:space="preserve"> współmałżonka miały zastosowanie także do partnera wskazanego przez pracownika w deklaracji </w:t>
      </w:r>
      <w:r w:rsidR="000B2CC9" w:rsidRPr="00DA1E2D">
        <w:rPr>
          <w:rFonts w:cstheme="minorHAnsi"/>
        </w:rPr>
        <w:t>przystąpienia</w:t>
      </w:r>
      <w:r w:rsidR="00BF3894" w:rsidRPr="00DA1E2D">
        <w:rPr>
          <w:rFonts w:cstheme="minorHAnsi"/>
        </w:rPr>
        <w:t>.</w:t>
      </w:r>
    </w:p>
    <w:p w14:paraId="69104153" w14:textId="0A1CC52C" w:rsidR="00B050CC" w:rsidRPr="00DA1E2D" w:rsidRDefault="00B050CC" w:rsidP="00DA1E2D">
      <w:pPr>
        <w:pStyle w:val="Akapitzlist"/>
        <w:numPr>
          <w:ilvl w:val="0"/>
          <w:numId w:val="4"/>
        </w:numPr>
        <w:spacing w:after="60" w:line="276" w:lineRule="auto"/>
        <w:ind w:left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Zamawiający dopuszcza realizację </w:t>
      </w:r>
      <w:r w:rsidR="00BA4E14" w:rsidRPr="00DA1E2D">
        <w:rPr>
          <w:rFonts w:cstheme="minorHAnsi"/>
        </w:rPr>
        <w:t>usług z zakresu</w:t>
      </w:r>
      <w:r w:rsidR="00FC4639" w:rsidRPr="00DA1E2D">
        <w:rPr>
          <w:rFonts w:cstheme="minorHAnsi"/>
        </w:rPr>
        <w:t xml:space="preserve"> </w:t>
      </w:r>
      <w:r w:rsidR="00BA4E14" w:rsidRPr="00DA1E2D">
        <w:rPr>
          <w:rFonts w:cstheme="minorHAnsi"/>
        </w:rPr>
        <w:t xml:space="preserve">assistance </w:t>
      </w:r>
      <w:r w:rsidR="00CD1E80" w:rsidRPr="00DA1E2D">
        <w:rPr>
          <w:rFonts w:cstheme="minorHAnsi"/>
        </w:rPr>
        <w:t>przez podwykonawcó</w:t>
      </w:r>
      <w:r w:rsidR="00671566" w:rsidRPr="00DA1E2D">
        <w:rPr>
          <w:rFonts w:cstheme="minorHAnsi"/>
        </w:rPr>
        <w:t>w</w:t>
      </w:r>
      <w:r w:rsidR="00A52652" w:rsidRPr="00DA1E2D">
        <w:rPr>
          <w:rFonts w:cstheme="minorHAnsi"/>
        </w:rPr>
        <w:t xml:space="preserve">. W takiej sytuacji Wykonawca zobowiązany jest wskazać części zamówienia, których wykonanie zamierza </w:t>
      </w:r>
      <w:r w:rsidR="00A52652" w:rsidRPr="00DA1E2D">
        <w:rPr>
          <w:rFonts w:cstheme="minorHAnsi"/>
        </w:rPr>
        <w:lastRenderedPageBreak/>
        <w:t xml:space="preserve">powierzyć podwykonawcom oraz podać nazwy firm podwykonawców w składanej ofercie oraz załączyć </w:t>
      </w:r>
      <w:bookmarkStart w:id="5" w:name="_Hlk6732959"/>
      <w:r w:rsidR="00A52652" w:rsidRPr="00DA1E2D">
        <w:rPr>
          <w:rFonts w:cstheme="minorHAnsi"/>
        </w:rPr>
        <w:t>dokument</w:t>
      </w:r>
      <w:r w:rsidR="00253348" w:rsidRPr="00DA1E2D">
        <w:rPr>
          <w:rFonts w:cstheme="minorHAnsi"/>
        </w:rPr>
        <w:t>y</w:t>
      </w:r>
      <w:r w:rsidR="00A52652" w:rsidRPr="00DA1E2D">
        <w:rPr>
          <w:rFonts w:cstheme="minorHAnsi"/>
        </w:rPr>
        <w:t xml:space="preserve"> regulujących zasady realizacji danej części zamówienia w stosunku do uczestników programu grupowego ubezpieczenia na życie</w:t>
      </w:r>
      <w:bookmarkEnd w:id="5"/>
      <w:r w:rsidR="00B36664" w:rsidRPr="00DA1E2D">
        <w:rPr>
          <w:rFonts w:cstheme="minorHAnsi"/>
        </w:rPr>
        <w:t xml:space="preserve"> (wykaz świadczeń </w:t>
      </w:r>
      <w:r w:rsidR="00C213EB" w:rsidRPr="00DA1E2D">
        <w:rPr>
          <w:rFonts w:cstheme="minorHAnsi"/>
        </w:rPr>
        <w:t>a</w:t>
      </w:r>
      <w:r w:rsidR="00B36664" w:rsidRPr="00DA1E2D">
        <w:rPr>
          <w:rFonts w:cstheme="minorHAnsi"/>
        </w:rPr>
        <w:t>ssistance</w:t>
      </w:r>
      <w:r w:rsidR="00B751C8" w:rsidRPr="00DA1E2D">
        <w:rPr>
          <w:rFonts w:cstheme="minorHAnsi"/>
        </w:rPr>
        <w:t xml:space="preserve"> oraz Ogólne Warunki Ubezpieczeń mających zastosowanie do usług </w:t>
      </w:r>
      <w:r w:rsidR="00C213EB" w:rsidRPr="00DA1E2D">
        <w:rPr>
          <w:rFonts w:cstheme="minorHAnsi"/>
        </w:rPr>
        <w:t>a</w:t>
      </w:r>
      <w:r w:rsidR="00B751C8" w:rsidRPr="00DA1E2D">
        <w:rPr>
          <w:rFonts w:cstheme="minorHAnsi"/>
        </w:rPr>
        <w:t>ssistance)</w:t>
      </w:r>
      <w:r w:rsidR="00A52652" w:rsidRPr="00DA1E2D">
        <w:rPr>
          <w:rFonts w:cstheme="minorHAnsi"/>
        </w:rPr>
        <w:t xml:space="preserve">. </w:t>
      </w:r>
      <w:r w:rsidR="00253348" w:rsidRPr="00DA1E2D">
        <w:rPr>
          <w:rFonts w:cstheme="minorHAnsi"/>
        </w:rPr>
        <w:t>Ewentualna z</w:t>
      </w:r>
      <w:r w:rsidR="002418DC" w:rsidRPr="00DA1E2D">
        <w:rPr>
          <w:rFonts w:cstheme="minorHAnsi"/>
        </w:rPr>
        <w:t xml:space="preserve">miana podwykonawcy nie będzie stanowiła zmiany </w:t>
      </w:r>
      <w:r w:rsidR="00D7365E" w:rsidRPr="00DA1E2D">
        <w:rPr>
          <w:rFonts w:cstheme="minorHAnsi"/>
        </w:rPr>
        <w:t xml:space="preserve">umowy ale będzie wymagała pisemnego poinformowania o tym fakcie </w:t>
      </w:r>
      <w:r w:rsidR="00444418" w:rsidRPr="00DA1E2D">
        <w:rPr>
          <w:rFonts w:cstheme="minorHAnsi"/>
        </w:rPr>
        <w:t>Zamawiającego przez Wykonawcę wraz z przekazaniem niezbędnych nowych dokumentów regulujących zasady realizacji danej części zamówienia w stosunku do uczestników programu grupowego ubezpieczenia na życie</w:t>
      </w:r>
      <w:r w:rsidR="00024E02" w:rsidRPr="00DA1E2D">
        <w:rPr>
          <w:rFonts w:cstheme="minorHAnsi"/>
        </w:rPr>
        <w:t xml:space="preserve"> będącego przedmiotem niniejszej SIWZ</w:t>
      </w:r>
      <w:r w:rsidR="00B751C8" w:rsidRPr="00DA1E2D">
        <w:rPr>
          <w:rFonts w:cstheme="minorHAnsi"/>
        </w:rPr>
        <w:t xml:space="preserve"> (wykaz świadczeń </w:t>
      </w:r>
      <w:r w:rsidR="00C213EB" w:rsidRPr="00DA1E2D">
        <w:rPr>
          <w:rFonts w:cstheme="minorHAnsi"/>
        </w:rPr>
        <w:t>a</w:t>
      </w:r>
      <w:r w:rsidR="00B751C8" w:rsidRPr="00DA1E2D">
        <w:rPr>
          <w:rFonts w:cstheme="minorHAnsi"/>
        </w:rPr>
        <w:t xml:space="preserve">ssistance oraz Ogólne Warunki Ubezpieczeń mających zastosowanie do usług </w:t>
      </w:r>
      <w:r w:rsidR="00C213EB" w:rsidRPr="00DA1E2D">
        <w:rPr>
          <w:rFonts w:cstheme="minorHAnsi"/>
        </w:rPr>
        <w:t>a</w:t>
      </w:r>
      <w:r w:rsidR="00B751C8" w:rsidRPr="00DA1E2D">
        <w:rPr>
          <w:rFonts w:cstheme="minorHAnsi"/>
        </w:rPr>
        <w:t>ssistance)</w:t>
      </w:r>
      <w:r w:rsidR="00024E02" w:rsidRPr="00DA1E2D">
        <w:rPr>
          <w:rFonts w:cstheme="minorHAnsi"/>
        </w:rPr>
        <w:t>.</w:t>
      </w:r>
    </w:p>
    <w:p w14:paraId="09B4CA25" w14:textId="4F934C12" w:rsidR="00871328" w:rsidRPr="00DA1E2D" w:rsidRDefault="00871328" w:rsidP="00DA1E2D">
      <w:pPr>
        <w:pStyle w:val="Akapitzlist"/>
        <w:numPr>
          <w:ilvl w:val="0"/>
          <w:numId w:val="4"/>
        </w:numPr>
        <w:spacing w:after="60" w:line="276" w:lineRule="auto"/>
        <w:ind w:left="426" w:hanging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W zakresie nieuregulowanym powyżej i z zastrzeżeniem innych zapisów SIWZ, Zamawiający oczekuje stosowania standardowych definicji i rozwiązań (w tym także obsługowych) oferowanych przez Wykonawcę. </w:t>
      </w:r>
    </w:p>
    <w:p w14:paraId="12498F52" w14:textId="4C4F14DE" w:rsidR="00A126E4" w:rsidRPr="00DA1E2D" w:rsidRDefault="00A126E4" w:rsidP="00DA1E2D">
      <w:pPr>
        <w:pStyle w:val="Akapitzlist"/>
        <w:spacing w:after="60" w:line="276" w:lineRule="auto"/>
        <w:ind w:left="426"/>
        <w:contextualSpacing w:val="0"/>
        <w:jc w:val="both"/>
        <w:rPr>
          <w:rFonts w:cstheme="minorHAnsi"/>
        </w:rPr>
      </w:pPr>
    </w:p>
    <w:p w14:paraId="0D400F4A" w14:textId="38118B1B" w:rsidR="008B45CF" w:rsidRPr="00DA1E2D" w:rsidRDefault="008B45CF" w:rsidP="00DA1E2D">
      <w:pPr>
        <w:spacing w:after="60" w:line="276" w:lineRule="auto"/>
        <w:rPr>
          <w:b/>
        </w:rPr>
      </w:pPr>
      <w:r w:rsidRPr="00DA1E2D">
        <w:rPr>
          <w:b/>
        </w:rPr>
        <w:t xml:space="preserve">III. </w:t>
      </w:r>
      <w:r w:rsidRPr="00DA1E2D">
        <w:rPr>
          <w:b/>
        </w:rPr>
        <w:tab/>
      </w:r>
      <w:r w:rsidR="00456FA9" w:rsidRPr="00DA1E2D">
        <w:rPr>
          <w:b/>
          <w:caps/>
        </w:rPr>
        <w:t>Doprecyzowanie z</w:t>
      </w:r>
      <w:r w:rsidRPr="00DA1E2D">
        <w:rPr>
          <w:rFonts w:cstheme="minorHAnsi"/>
          <w:b/>
          <w:caps/>
        </w:rPr>
        <w:t>akres</w:t>
      </w:r>
      <w:r w:rsidR="00456FA9" w:rsidRPr="00DA1E2D">
        <w:rPr>
          <w:rFonts w:cstheme="minorHAnsi"/>
          <w:b/>
          <w:caps/>
        </w:rPr>
        <w:t>u</w:t>
      </w:r>
      <w:r w:rsidRPr="00DA1E2D">
        <w:rPr>
          <w:rFonts w:cstheme="minorHAnsi"/>
          <w:b/>
          <w:caps/>
        </w:rPr>
        <w:t xml:space="preserve"> ochrony ubezpieczeniowej</w:t>
      </w:r>
    </w:p>
    <w:p w14:paraId="22E2D3A3" w14:textId="4D0DD004" w:rsidR="008B45CF" w:rsidRPr="00DA1E2D" w:rsidRDefault="008B45CF" w:rsidP="00DA1E2D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cstheme="minorHAnsi"/>
        </w:rPr>
      </w:pPr>
      <w:r w:rsidRPr="00DA1E2D">
        <w:rPr>
          <w:rFonts w:cstheme="minorHAnsi"/>
          <w:b/>
        </w:rPr>
        <w:t>Nieszczęśliwy wypadek</w:t>
      </w:r>
      <w:r w:rsidRPr="00DA1E2D">
        <w:rPr>
          <w:rFonts w:cstheme="minorHAnsi"/>
        </w:rPr>
        <w:t xml:space="preserve">: nagłe, gwałtowne i niezależne od woli i stanu zdrowia Ubezpieczonego zdarzenie wywołane przyczyną zewnętrzną, będące </w:t>
      </w:r>
      <w:r w:rsidR="003B45E4" w:rsidRPr="00E63473">
        <w:rPr>
          <w:rFonts w:cstheme="minorHAnsi"/>
        </w:rPr>
        <w:t>bezpośrednią oraz wyłączną</w:t>
      </w:r>
      <w:r w:rsidR="003B45E4">
        <w:rPr>
          <w:rFonts w:cstheme="minorHAnsi"/>
        </w:rPr>
        <w:t xml:space="preserve"> </w:t>
      </w:r>
      <w:r w:rsidRPr="00DA1E2D">
        <w:rPr>
          <w:rFonts w:cstheme="minorHAnsi"/>
        </w:rPr>
        <w:t>przyczyną zdarzenia objętego ochroną ubezpieczeniową.</w:t>
      </w:r>
    </w:p>
    <w:p w14:paraId="72DDD15B" w14:textId="22A81972" w:rsidR="008B45CF" w:rsidRPr="00DA1E2D" w:rsidRDefault="008B45CF" w:rsidP="00DA1E2D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cstheme="minorHAnsi"/>
        </w:rPr>
      </w:pPr>
      <w:r w:rsidRPr="00DA1E2D">
        <w:rPr>
          <w:rFonts w:cstheme="minorHAnsi"/>
          <w:b/>
        </w:rPr>
        <w:t>Wypadek komunikacyjny</w:t>
      </w:r>
      <w:r w:rsidRPr="00DA1E2D">
        <w:rPr>
          <w:rFonts w:cstheme="minorHAnsi"/>
        </w:rPr>
        <w:t xml:space="preserve"> - nieszczęśliwy wypadek, który nastąpił z udziałem będącego w ruchu pojazdu, rozumianego jako drogowy pojazd mechaniczny, pojazd szynowy, powietrzny (rozumiany jako pasażerski samolot koncesjonowanych linii lotniczych) lub wodny.</w:t>
      </w:r>
    </w:p>
    <w:p w14:paraId="42B5724A" w14:textId="5F9FDCED" w:rsidR="008B45CF" w:rsidRPr="00DA1E2D" w:rsidRDefault="008B45CF" w:rsidP="00DA1E2D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cstheme="minorHAnsi"/>
        </w:rPr>
      </w:pPr>
      <w:r w:rsidRPr="00DA1E2D">
        <w:rPr>
          <w:rFonts w:cstheme="minorHAnsi"/>
          <w:b/>
        </w:rPr>
        <w:t xml:space="preserve">Wypadek </w:t>
      </w:r>
      <w:r w:rsidR="00E9281A" w:rsidRPr="00DA1E2D">
        <w:rPr>
          <w:rFonts w:cstheme="minorHAnsi"/>
          <w:b/>
        </w:rPr>
        <w:t>przy</w:t>
      </w:r>
      <w:r w:rsidRPr="00DA1E2D">
        <w:rPr>
          <w:rFonts w:cstheme="minorHAnsi"/>
          <w:b/>
        </w:rPr>
        <w:t xml:space="preserve"> pracy</w:t>
      </w:r>
      <w:r w:rsidRPr="00DA1E2D">
        <w:rPr>
          <w:rFonts w:cstheme="minorHAnsi"/>
        </w:rPr>
        <w:t xml:space="preserve"> - nieszczęśliwy wypadek, który nastąpił w związku z wykonywaniem przez ubezpieczonego czynności lub poleceń służbowych także podczas delegacji służbowej w ramach łączącego ubezpieczonego z Ubezpieczającym stosunku pracy lub innego stosunku cywilnoprawnego. W odniesieniu do małżonków, partnerów życiowych i pełnoletnich dzieci pracowników, nie ma wymogu bycia zatrudnionym u Ubezpieczającego (osoby te muszą udowodnić </w:t>
      </w:r>
      <w:r w:rsidR="00E9281A" w:rsidRPr="00DA1E2D">
        <w:t>wystąpienie wypadku przy pracy protokołem BHP wystawionym przez pracodawcę ubezpieczonego członka rodziny</w:t>
      </w:r>
      <w:r w:rsidRPr="00DA1E2D">
        <w:rPr>
          <w:rFonts w:cstheme="minorHAnsi"/>
        </w:rPr>
        <w:t>).</w:t>
      </w:r>
    </w:p>
    <w:p w14:paraId="45EE5FD1" w14:textId="12EB5F38" w:rsidR="008B45CF" w:rsidRPr="00DA1E2D" w:rsidRDefault="008B45CF" w:rsidP="00DA1E2D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Wykonawca nie uzależni wypłaty świadczenia od okresu, jaki upłynął pomiędzy nieszczęśliwym wypadkiem a śmiercią ubezpieczonego, o ile zachodzi związek przyczynowo-skutkowy pomiędzy tymi zdarzeniami i obydwa wystąpiły w okresie odpowiedzialności Wykonawcy.</w:t>
      </w:r>
    </w:p>
    <w:p w14:paraId="64DEB415" w14:textId="3C11D8BB" w:rsidR="008B45CF" w:rsidRPr="00DA1E2D" w:rsidRDefault="008B45CF" w:rsidP="00DA1E2D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cstheme="minorHAnsi"/>
        </w:rPr>
      </w:pPr>
      <w:r w:rsidRPr="00DA1E2D">
        <w:rPr>
          <w:rFonts w:cstheme="minorHAnsi"/>
          <w:b/>
        </w:rPr>
        <w:t>Trwały uszczerbek na zdrowiu</w:t>
      </w:r>
      <w:r w:rsidRPr="00DA1E2D">
        <w:rPr>
          <w:rFonts w:cstheme="minorHAnsi"/>
        </w:rPr>
        <w:t>: trwałe, nierokujące poprawy uszkodzenie danego organu, narządu lub układu, polegające na fizycznej utracie tego organu, narządu, układu lub upośledzeniu jego funkcji wskutek nieszczęśliwego wypadku.</w:t>
      </w:r>
    </w:p>
    <w:p w14:paraId="4EAF7DB1" w14:textId="68A58379" w:rsidR="008B45CF" w:rsidRPr="00DA1E2D" w:rsidRDefault="008B45CF" w:rsidP="00DA1E2D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DA1E2D">
        <w:rPr>
          <w:rFonts w:cstheme="minorHAnsi"/>
          <w:b/>
        </w:rPr>
        <w:t>Dziecko</w:t>
      </w:r>
      <w:r w:rsidRPr="00DA1E2D">
        <w:rPr>
          <w:rFonts w:cstheme="minorHAnsi"/>
        </w:rPr>
        <w:t xml:space="preserve"> - pod pojęciem dziecko należy rozumieć dziecko własne lub przysposobione. Ochrona ubezpieczeniowa obejmuje dzieci od urodzenia do ukończenia przez dziecko 25 roku życia lub bez względu na wiek w razie całkowitej niezdolności dziecka do pracy. Niezdolność do pracy powinna zostać stwierdzona przez odpowiedni organ. Wskazana definicja dotyczy ryzyk: śmierć dziecka oraz osierocenie dziecka. W przypadku poważnego zachorowania dziecka i pobytu dziecka w szpitalu wykonawca może wprowadzić ograniczenie odpowiedzialności z tego tytułu do 18 r.ż.</w:t>
      </w:r>
    </w:p>
    <w:p w14:paraId="3D75D701" w14:textId="77777777" w:rsidR="008B45CF" w:rsidRPr="00DA1E2D" w:rsidRDefault="008B45CF" w:rsidP="00DA1E2D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Świadczenie z tytułu </w:t>
      </w:r>
      <w:r w:rsidRPr="00DA1E2D">
        <w:rPr>
          <w:rFonts w:cstheme="minorHAnsi"/>
          <w:b/>
        </w:rPr>
        <w:t>osierocenia dziecka</w:t>
      </w:r>
      <w:r w:rsidRPr="00DA1E2D">
        <w:rPr>
          <w:rFonts w:cstheme="minorHAnsi"/>
        </w:rPr>
        <w:t xml:space="preserve"> należne jest każdemu z osieroconych dzieci w pełnej wysokości.</w:t>
      </w:r>
    </w:p>
    <w:p w14:paraId="6CC603D3" w14:textId="626C6EA6" w:rsidR="008B45CF" w:rsidRPr="00E63473" w:rsidRDefault="008B45CF" w:rsidP="00DA1E2D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cstheme="minorHAnsi"/>
        </w:rPr>
      </w:pPr>
      <w:r w:rsidRPr="00DA1E2D">
        <w:rPr>
          <w:rFonts w:cstheme="minorHAnsi"/>
          <w:b/>
        </w:rPr>
        <w:lastRenderedPageBreak/>
        <w:t xml:space="preserve">Niezdolność do pracy: </w:t>
      </w:r>
      <w:r w:rsidRPr="00DA1E2D">
        <w:rPr>
          <w:rFonts w:cstheme="minorHAnsi"/>
        </w:rPr>
        <w:t>trwała i całkowita niezdolność do wykonywania jakiejkolwiek pracy zarobkowej w dowolnym zawodzie oraz samodzielnej egzystencji, będąc</w:t>
      </w:r>
      <w:r w:rsidR="004E32CD">
        <w:rPr>
          <w:rFonts w:cstheme="minorHAnsi"/>
        </w:rPr>
        <w:t>a</w:t>
      </w:r>
      <w:r w:rsidRPr="00DA1E2D">
        <w:rPr>
          <w:rFonts w:cstheme="minorHAnsi"/>
        </w:rPr>
        <w:t xml:space="preserve"> wynikiem choroby lub nieszczęśliwego wypadku</w:t>
      </w:r>
      <w:r w:rsidR="004E32CD">
        <w:rPr>
          <w:rFonts w:cstheme="minorHAnsi"/>
        </w:rPr>
        <w:t xml:space="preserve">. </w:t>
      </w:r>
      <w:r w:rsidRPr="00DA1E2D">
        <w:rPr>
          <w:rFonts w:cstheme="minorHAnsi"/>
        </w:rPr>
        <w:t>Orzeczenie lekarskie o trwałej i całkowitej niezdolności do pracy oraz samodzielnej egzystencji, powinno być wydane przez podmiot uprawniony do orzekania niezdolności do pracy i samodzielnej egzystencji.</w:t>
      </w:r>
      <w:r w:rsidR="004E32CD" w:rsidRPr="004E32CD">
        <w:rPr>
          <w:rFonts w:cstheme="minorHAnsi"/>
        </w:rPr>
        <w:t xml:space="preserve"> </w:t>
      </w:r>
      <w:r w:rsidR="004E32CD" w:rsidRPr="00E63473">
        <w:rPr>
          <w:rFonts w:cstheme="minorHAnsi"/>
        </w:rPr>
        <w:t>Zgodnie z aktualną wiedzą medyczną nie ma pozytywnych rokowań co do odzyskania przez ubezpieczonego zdolności do pracy.</w:t>
      </w:r>
    </w:p>
    <w:p w14:paraId="038D93EB" w14:textId="63C42804" w:rsidR="008B45CF" w:rsidRPr="00DA1E2D" w:rsidRDefault="008B45CF" w:rsidP="00DA1E2D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cstheme="minorHAnsi"/>
        </w:rPr>
      </w:pPr>
      <w:bookmarkStart w:id="6" w:name="_GoBack"/>
      <w:bookmarkEnd w:id="6"/>
      <w:r w:rsidRPr="00DA1E2D">
        <w:rPr>
          <w:rFonts w:cstheme="minorHAnsi"/>
        </w:rPr>
        <w:t xml:space="preserve">Świadczenie z tytułu </w:t>
      </w:r>
      <w:r w:rsidRPr="00DA1E2D">
        <w:rPr>
          <w:rFonts w:cstheme="minorHAnsi"/>
          <w:b/>
        </w:rPr>
        <w:t>śmierci rodzica lub teścia</w:t>
      </w:r>
      <w:r w:rsidR="00743667">
        <w:rPr>
          <w:rFonts w:cstheme="minorHAnsi"/>
          <w:b/>
        </w:rPr>
        <w:t>/teściowej</w:t>
      </w:r>
      <w:r w:rsidRPr="00DA1E2D">
        <w:rPr>
          <w:rFonts w:cstheme="minorHAnsi"/>
        </w:rPr>
        <w:t xml:space="preserve"> ubezpieczonego, która nastąpiła w okresie odpowiedzialności Wykonawcy dotyczy:</w:t>
      </w:r>
    </w:p>
    <w:p w14:paraId="69703EF6" w14:textId="77777777" w:rsidR="008B45CF" w:rsidRPr="00DA1E2D" w:rsidRDefault="008B45CF" w:rsidP="00DA1E2D">
      <w:pPr>
        <w:pStyle w:val="Akapitzlist"/>
        <w:numPr>
          <w:ilvl w:val="0"/>
          <w:numId w:val="36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każdego z rodziców Ubezpieczonego albo ojczyma lub macochy (jeśli nie żyje matka lub ojciec),</w:t>
      </w:r>
    </w:p>
    <w:p w14:paraId="122C6419" w14:textId="5E6454F9" w:rsidR="008B45CF" w:rsidRPr="00DA1E2D" w:rsidRDefault="008B45CF" w:rsidP="00DA1E2D">
      <w:pPr>
        <w:pStyle w:val="Akapitzlist"/>
        <w:numPr>
          <w:ilvl w:val="0"/>
          <w:numId w:val="36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każdego z rodziców małżonka/partnera Ubezpieczonego albo ojczyma lub macochy (jeśli nie żyje matka lub ojciec małżonka/partnera Ubezpieczonego)</w:t>
      </w:r>
      <w:r w:rsidR="00080F7D" w:rsidRPr="00DA1E2D">
        <w:rPr>
          <w:rFonts w:cstheme="minorHAnsi"/>
        </w:rPr>
        <w:t>.</w:t>
      </w:r>
    </w:p>
    <w:p w14:paraId="4C08C8CE" w14:textId="77777777" w:rsidR="008B45CF" w:rsidRPr="00DA1E2D" w:rsidRDefault="008B45CF" w:rsidP="00DA1E2D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Ubezpieczenie obejmuje </w:t>
      </w:r>
      <w:r w:rsidRPr="00DA1E2D">
        <w:rPr>
          <w:rFonts w:cstheme="minorHAnsi"/>
          <w:b/>
        </w:rPr>
        <w:t>urodzenie się dziecka</w:t>
      </w:r>
      <w:r w:rsidRPr="00DA1E2D">
        <w:rPr>
          <w:rFonts w:cstheme="minorHAnsi"/>
        </w:rPr>
        <w:t xml:space="preserve"> w okresie odpowiedzialności Wykonawcy. Kwota świadczenia określona w OPZ należna będzie za każde dziecko urodzone w okresie odpowiedzialności Wykonawcy. Za urodzenie dziecka uważa się także przysposobienie dziecka.</w:t>
      </w:r>
    </w:p>
    <w:p w14:paraId="080C69BF" w14:textId="77777777" w:rsidR="008B45CF" w:rsidRPr="00DA1E2D" w:rsidRDefault="008B45CF" w:rsidP="00DA1E2D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cstheme="minorHAnsi"/>
        </w:rPr>
      </w:pPr>
      <w:r w:rsidRPr="00DA1E2D">
        <w:rPr>
          <w:rFonts w:cstheme="minorHAnsi"/>
          <w:b/>
        </w:rPr>
        <w:t>Poważne zachorowanie</w:t>
      </w:r>
      <w:r w:rsidRPr="00DA1E2D">
        <w:rPr>
          <w:rFonts w:cstheme="minorHAnsi"/>
        </w:rPr>
        <w:t>: wystąpienie (zdiagnozowanie) u ubezpieczonego lub odpowiednio u dziecka ubezpieczonego, w okresie odpowiedzialności Wykonawcy, określonych poważnych zachorowań lub wykonanie specjalistycznych zabiegów medycznych, przy czym:</w:t>
      </w:r>
    </w:p>
    <w:p w14:paraId="5F416EDF" w14:textId="77777777" w:rsidR="008B45CF" w:rsidRPr="00DA1E2D" w:rsidRDefault="008B45CF" w:rsidP="00DA1E2D">
      <w:pPr>
        <w:pStyle w:val="Akapitzlist"/>
        <w:numPr>
          <w:ilvl w:val="0"/>
          <w:numId w:val="13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Wykaz zdarzeń objętych ochroną w ramach ryzyka wystąpienia poważnych zachorowań ubezpieczonego w ramach każdego z wariantów będzie obejmował co najmniej 20 pozycji, w tym obligatoryjnie następujące przypadki:</w:t>
      </w:r>
    </w:p>
    <w:p w14:paraId="6C473A79" w14:textId="77777777" w:rsidR="008B45CF" w:rsidRPr="00DA1E2D" w:rsidRDefault="008B45CF" w:rsidP="00DA1E2D">
      <w:pPr>
        <w:pStyle w:val="Akapitzlist"/>
        <w:numPr>
          <w:ilvl w:val="0"/>
          <w:numId w:val="37"/>
        </w:numPr>
        <w:spacing w:after="60" w:line="276" w:lineRule="auto"/>
        <w:ind w:left="1418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anemia aplastyczna, </w:t>
      </w:r>
    </w:p>
    <w:p w14:paraId="039B2F85" w14:textId="77777777" w:rsidR="008B45CF" w:rsidRPr="00DA1E2D" w:rsidRDefault="008B45CF" w:rsidP="00DA1E2D">
      <w:pPr>
        <w:pStyle w:val="Akapitzlist"/>
        <w:numPr>
          <w:ilvl w:val="0"/>
          <w:numId w:val="37"/>
        </w:numPr>
        <w:spacing w:after="60" w:line="276" w:lineRule="auto"/>
        <w:ind w:left="1418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leczenie operacyjne choroby wieńcowej (by-pass), </w:t>
      </w:r>
    </w:p>
    <w:p w14:paraId="737AA2A8" w14:textId="77777777" w:rsidR="008B45CF" w:rsidRPr="00DA1E2D" w:rsidRDefault="008B45CF" w:rsidP="00DA1E2D">
      <w:pPr>
        <w:pStyle w:val="Akapitzlist"/>
        <w:numPr>
          <w:ilvl w:val="0"/>
          <w:numId w:val="37"/>
        </w:numPr>
        <w:spacing w:after="60" w:line="276" w:lineRule="auto"/>
        <w:ind w:left="1418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niewydolność nerek,</w:t>
      </w:r>
    </w:p>
    <w:p w14:paraId="42BF00B7" w14:textId="77777777" w:rsidR="008B45CF" w:rsidRPr="00DA1E2D" w:rsidRDefault="008B45CF" w:rsidP="00DA1E2D">
      <w:pPr>
        <w:pStyle w:val="Akapitzlist"/>
        <w:numPr>
          <w:ilvl w:val="0"/>
          <w:numId w:val="37"/>
        </w:numPr>
        <w:spacing w:after="60" w:line="276" w:lineRule="auto"/>
        <w:ind w:left="1418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nowotwór złośliwy, </w:t>
      </w:r>
    </w:p>
    <w:p w14:paraId="348B45B9" w14:textId="77777777" w:rsidR="008B45CF" w:rsidRPr="00DA1E2D" w:rsidRDefault="008B45CF" w:rsidP="00DA1E2D">
      <w:pPr>
        <w:pStyle w:val="Akapitzlist"/>
        <w:numPr>
          <w:ilvl w:val="0"/>
          <w:numId w:val="37"/>
        </w:numPr>
        <w:spacing w:after="60" w:line="276" w:lineRule="auto"/>
        <w:ind w:left="1418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operacja zastawki serca, </w:t>
      </w:r>
    </w:p>
    <w:p w14:paraId="5DFE8A7E" w14:textId="77777777" w:rsidR="008B45CF" w:rsidRPr="00DA1E2D" w:rsidRDefault="008B45CF" w:rsidP="00DA1E2D">
      <w:pPr>
        <w:pStyle w:val="Akapitzlist"/>
        <w:numPr>
          <w:ilvl w:val="0"/>
          <w:numId w:val="37"/>
        </w:numPr>
        <w:spacing w:after="60" w:line="276" w:lineRule="auto"/>
        <w:ind w:left="1418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przeszczep dużych narządów, </w:t>
      </w:r>
    </w:p>
    <w:p w14:paraId="0913FE23" w14:textId="77777777" w:rsidR="008B45CF" w:rsidRPr="00DA1E2D" w:rsidRDefault="008B45CF" w:rsidP="00DA1E2D">
      <w:pPr>
        <w:pStyle w:val="Akapitzlist"/>
        <w:numPr>
          <w:ilvl w:val="0"/>
          <w:numId w:val="37"/>
        </w:numPr>
        <w:spacing w:after="60" w:line="276" w:lineRule="auto"/>
        <w:ind w:left="1418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udar mózgu,</w:t>
      </w:r>
    </w:p>
    <w:p w14:paraId="5F092994" w14:textId="5F33CC9F" w:rsidR="008B45CF" w:rsidRPr="00DA1E2D" w:rsidRDefault="008B45CF" w:rsidP="00DA1E2D">
      <w:pPr>
        <w:pStyle w:val="Akapitzlist"/>
        <w:numPr>
          <w:ilvl w:val="0"/>
          <w:numId w:val="37"/>
        </w:numPr>
        <w:spacing w:after="60" w:line="276" w:lineRule="auto"/>
        <w:ind w:left="1418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zawał serca, </w:t>
      </w:r>
    </w:p>
    <w:p w14:paraId="7D8CFAB0" w14:textId="77777777" w:rsidR="008B45CF" w:rsidRPr="00DA1E2D" w:rsidRDefault="008B45CF" w:rsidP="00DA1E2D">
      <w:pPr>
        <w:pStyle w:val="Akapitzlist"/>
        <w:numPr>
          <w:ilvl w:val="0"/>
          <w:numId w:val="37"/>
        </w:numPr>
        <w:spacing w:after="60" w:line="276" w:lineRule="auto"/>
        <w:ind w:left="1418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stwardnienie rozsiane, </w:t>
      </w:r>
    </w:p>
    <w:p w14:paraId="247A2FAB" w14:textId="03F32EB0" w:rsidR="008B45CF" w:rsidRPr="00DA1E2D" w:rsidRDefault="008B45CF" w:rsidP="00DA1E2D">
      <w:pPr>
        <w:pStyle w:val="Akapitzlist"/>
        <w:numPr>
          <w:ilvl w:val="0"/>
          <w:numId w:val="37"/>
        </w:numPr>
        <w:spacing w:after="60" w:line="276" w:lineRule="auto"/>
        <w:ind w:left="1418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niewydolność wątroby</w:t>
      </w:r>
      <w:r w:rsidR="00080F7D" w:rsidRPr="00DA1E2D">
        <w:rPr>
          <w:rFonts w:cstheme="minorHAnsi"/>
        </w:rPr>
        <w:t>.</w:t>
      </w:r>
    </w:p>
    <w:p w14:paraId="7E83852A" w14:textId="77777777" w:rsidR="008B45CF" w:rsidRPr="00DA1E2D" w:rsidRDefault="008B45CF" w:rsidP="00DA1E2D">
      <w:pPr>
        <w:pStyle w:val="Akapitzlist"/>
        <w:numPr>
          <w:ilvl w:val="0"/>
          <w:numId w:val="13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Wykaz zdarzeń objętych ochroną w ramach ryzyka wystąpienia poważnych zachorowań dziecka ubezpieczonego w ramach każdego z wariantów w którym wspomniane ryzyko występuje będzie obejmował co najmniej 10 pozycji, w tym obligatoryjnie następujące przypadki:  </w:t>
      </w:r>
    </w:p>
    <w:p w14:paraId="1698987E" w14:textId="77777777" w:rsidR="008B45CF" w:rsidRPr="00DA1E2D" w:rsidRDefault="008B45CF" w:rsidP="00DA1E2D">
      <w:pPr>
        <w:pStyle w:val="Akapitzlist"/>
        <w:numPr>
          <w:ilvl w:val="0"/>
          <w:numId w:val="38"/>
        </w:numPr>
        <w:spacing w:after="60" w:line="276" w:lineRule="auto"/>
        <w:ind w:left="1418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nowotwór złośliwy, </w:t>
      </w:r>
    </w:p>
    <w:p w14:paraId="771ED38A" w14:textId="77777777" w:rsidR="008B45CF" w:rsidRPr="00DA1E2D" w:rsidRDefault="008B45CF" w:rsidP="00DA1E2D">
      <w:pPr>
        <w:pStyle w:val="Akapitzlist"/>
        <w:numPr>
          <w:ilvl w:val="0"/>
          <w:numId w:val="38"/>
        </w:numPr>
        <w:spacing w:after="60" w:line="276" w:lineRule="auto"/>
        <w:ind w:left="1418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cukrzyca</w:t>
      </w:r>
    </w:p>
    <w:p w14:paraId="74A6570E" w14:textId="4D0640DD" w:rsidR="008B45CF" w:rsidRPr="00DA1E2D" w:rsidRDefault="008B45CF" w:rsidP="00DA1E2D">
      <w:pPr>
        <w:pStyle w:val="Akapitzlist"/>
        <w:numPr>
          <w:ilvl w:val="0"/>
          <w:numId w:val="38"/>
        </w:numPr>
        <w:spacing w:after="60" w:line="276" w:lineRule="auto"/>
        <w:ind w:left="1418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dystrofia mięśniowa</w:t>
      </w:r>
      <w:r w:rsidR="00080F7D" w:rsidRPr="00DA1E2D">
        <w:rPr>
          <w:rFonts w:cstheme="minorHAnsi"/>
        </w:rPr>
        <w:t>.</w:t>
      </w:r>
    </w:p>
    <w:p w14:paraId="2C66B317" w14:textId="531F7E07" w:rsidR="008B45CF" w:rsidRPr="00DA1E2D" w:rsidRDefault="008B45CF" w:rsidP="00DA1E2D">
      <w:pPr>
        <w:pStyle w:val="Akapitzlist"/>
        <w:numPr>
          <w:ilvl w:val="0"/>
          <w:numId w:val="13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Katalog jednostek chorobowych wraz z odpowiadającymi im definicjami powinien być zgodny z funkcjonującymi u Wykonawcy w dniu składania oferty OWU. W przypadku stosowania w OWU innych nazw wymienionych w OPZ stanów chorobowych, </w:t>
      </w:r>
      <w:bookmarkStart w:id="7" w:name="_Hlk6764287"/>
      <w:r w:rsidRPr="00DA1E2D">
        <w:rPr>
          <w:rFonts w:cstheme="minorHAnsi"/>
        </w:rPr>
        <w:t>oferta powinna zawierać oświadczenie o ich tożsamości z nazwami stosowanymi w OPZ.</w:t>
      </w:r>
    </w:p>
    <w:bookmarkEnd w:id="7"/>
    <w:p w14:paraId="7AF14EB2" w14:textId="77777777" w:rsidR="008B45CF" w:rsidRPr="00DA1E2D" w:rsidRDefault="008B45CF" w:rsidP="00DA1E2D">
      <w:pPr>
        <w:pStyle w:val="Akapitzlist"/>
        <w:numPr>
          <w:ilvl w:val="0"/>
          <w:numId w:val="13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lastRenderedPageBreak/>
        <w:t>Wykonawca ponosi odpowiedzialność za każde wystąpienie poważnego zachorowania. W przypadku wystąpienia kolejnego poważnego zachorowania w okresie trwania umowy ubezpieczenia, Wykonawca ponosi odpowiedzialność o ile nie istnieje związek przyczynowo- skutkowy z zachorowaniem, za które Wykonawca wypłacił już świadczenie. W okresie odpowiedzialności Wykonawcy świadczenie z tytułu wystąpienia tego samego poważnego zachorowania może być wypłacone ubezpieczonemu tylko raz.</w:t>
      </w:r>
    </w:p>
    <w:p w14:paraId="1664FE99" w14:textId="263FAC35" w:rsidR="008B45CF" w:rsidRPr="00DA1E2D" w:rsidRDefault="008B45CF" w:rsidP="00DA1E2D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cstheme="minorHAnsi"/>
        </w:rPr>
      </w:pPr>
      <w:r w:rsidRPr="00DA1E2D">
        <w:rPr>
          <w:rFonts w:cstheme="minorHAnsi"/>
          <w:b/>
        </w:rPr>
        <w:t>Pobyt w szpitalu</w:t>
      </w:r>
      <w:r w:rsidRPr="00DA1E2D">
        <w:rPr>
          <w:rFonts w:cstheme="minorHAnsi"/>
        </w:rPr>
        <w:t xml:space="preserve"> –pobyt w szpitalu w celu leczenia, mający miejsce w okresie odpowiedzialności ubezpieczyciela, przy czym: </w:t>
      </w:r>
    </w:p>
    <w:p w14:paraId="3B87F7D8" w14:textId="0F2D6827" w:rsidR="008B45CF" w:rsidRPr="00DA1E2D" w:rsidRDefault="008B45CF" w:rsidP="00DA1E2D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szpital rozumiany jest jako zakład lecznictwa zamkniętego przeznaczony do udzielania świadczeń zdrowotnych tym chorym, których stan zdrowia wymaga całodobowej opieki lekarsko-pielęgniarskiej. Za szpital nie uważa się hospicjów, placówek lecznictwa odwykowego, zakładów opiekuńczych, zakładów lecznictwa uzdrowiskowego (w tym sanatoriów), szpitali uzdrowiskowych, ośrodków rehabilitacyjnych, szpitali rehabilitacyjnych oraz oddziałów dziennych i oddziałów rehabilitacyjnych i tym podobnych placówek</w:t>
      </w:r>
      <w:r w:rsidR="009461C8" w:rsidRPr="00DA1E2D">
        <w:rPr>
          <w:rFonts w:cstheme="minorHAnsi"/>
        </w:rPr>
        <w:t>,</w:t>
      </w:r>
    </w:p>
    <w:p w14:paraId="6A3BDF26" w14:textId="77777777" w:rsidR="008B45CF" w:rsidRPr="00DA1E2D" w:rsidRDefault="008B45CF" w:rsidP="00DA1E2D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dzienne świadczenie szpitalne z tytułu pobytu w szpitalu ubezpieczonego będzie należne pod warunkiem, że hospitalizacja spowodowana nieszczęśliwym wypadkiem trwała co najmniej 1 dzień, </w:t>
      </w:r>
    </w:p>
    <w:p w14:paraId="15ECB22A" w14:textId="5C014B2D" w:rsidR="008B45CF" w:rsidRPr="00DA1E2D" w:rsidRDefault="008B45CF" w:rsidP="00DA1E2D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dzienne świadczenie szpitalne z tytułu pobytu w szpitalu ubezpieczonego będzie należne pod warunkiem, że hospitalizacja spowodowana chorobą trwała co najmniej 2 dni</w:t>
      </w:r>
      <w:r w:rsidR="009461C8" w:rsidRPr="00DA1E2D">
        <w:rPr>
          <w:rFonts w:cstheme="minorHAnsi"/>
        </w:rPr>
        <w:t>,</w:t>
      </w:r>
    </w:p>
    <w:p w14:paraId="347BA450" w14:textId="787982AF" w:rsidR="008B45CF" w:rsidRPr="00DA1E2D" w:rsidRDefault="008B45CF" w:rsidP="00DA1E2D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świadczenie szpitalne </w:t>
      </w:r>
      <w:bookmarkStart w:id="8" w:name="_Hlk8802036"/>
      <w:r w:rsidRPr="00DA1E2D">
        <w:rPr>
          <w:rFonts w:cstheme="minorHAnsi"/>
        </w:rPr>
        <w:t xml:space="preserve">z tytułu pobytu w szpitalu dziecka ubezpieczonego </w:t>
      </w:r>
      <w:bookmarkEnd w:id="8"/>
      <w:r w:rsidRPr="00DA1E2D">
        <w:rPr>
          <w:rFonts w:cstheme="minorHAnsi"/>
        </w:rPr>
        <w:t xml:space="preserve">będzie należne pod warunkiem, że hospitalizacja niezależnie od przyczyny trwała co najmniej </w:t>
      </w:r>
      <w:r w:rsidR="00875AF1">
        <w:rPr>
          <w:rFonts w:cstheme="minorHAnsi"/>
        </w:rPr>
        <w:t>4</w:t>
      </w:r>
      <w:r w:rsidRPr="00DA1E2D">
        <w:rPr>
          <w:rFonts w:cstheme="minorHAnsi"/>
        </w:rPr>
        <w:t xml:space="preserve"> dni</w:t>
      </w:r>
      <w:r w:rsidR="009461C8" w:rsidRPr="00DA1E2D">
        <w:rPr>
          <w:rFonts w:cstheme="minorHAnsi"/>
        </w:rPr>
        <w:t>,</w:t>
      </w:r>
    </w:p>
    <w:p w14:paraId="065B6D9A" w14:textId="01A64CC9" w:rsidR="008B45CF" w:rsidRPr="00DA1E2D" w:rsidRDefault="008B45CF" w:rsidP="00DA1E2D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1 dzień pobytu w szpitalu należy rozumieć jako 1 zmianę daty</w:t>
      </w:r>
      <w:r w:rsidR="009461C8" w:rsidRPr="00DA1E2D">
        <w:rPr>
          <w:rFonts w:cstheme="minorHAnsi"/>
        </w:rPr>
        <w:t>,</w:t>
      </w:r>
    </w:p>
    <w:p w14:paraId="7C886CEE" w14:textId="2BF8AA54" w:rsidR="008B45CF" w:rsidRPr="00DA1E2D" w:rsidRDefault="008B45CF" w:rsidP="00DA1E2D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dzienne świadczenie szpitalne wypłacane jest maksymalnie za 180 dni hospitalizacji ubezpieczonego w każdym roku trwania umowy ubezpieczenia </w:t>
      </w:r>
      <w:r w:rsidR="007C6031" w:rsidRPr="00DA1E2D">
        <w:rPr>
          <w:rFonts w:cstheme="minorHAnsi"/>
        </w:rPr>
        <w:t>i 90 dni hospitalizacji z tytułu pobytu w szpitalu dziecka ubezpieczonego.</w:t>
      </w:r>
    </w:p>
    <w:p w14:paraId="18C7EB50" w14:textId="77777777" w:rsidR="008B45CF" w:rsidRPr="00DA1E2D" w:rsidRDefault="008B45CF" w:rsidP="00DA1E2D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jeśli pobyt ubezpieczonego w szpitalu, z tytułu którego ubezpieczonemu należne jest dzienne świadczenie szpitalne: </w:t>
      </w:r>
    </w:p>
    <w:p w14:paraId="489B117C" w14:textId="77777777" w:rsidR="008B45CF" w:rsidRPr="00DA1E2D" w:rsidRDefault="008B45CF" w:rsidP="00DA1E2D">
      <w:pPr>
        <w:pStyle w:val="Akapitzlist"/>
        <w:numPr>
          <w:ilvl w:val="1"/>
          <w:numId w:val="12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będzie miał miejsce w pomieszczeniu przeznaczonym wyłącznie intensywnej opiece medycznej (OIOM, OIT) oraz</w:t>
      </w:r>
    </w:p>
    <w:p w14:paraId="7FFAAF70" w14:textId="77777777" w:rsidR="008B45CF" w:rsidRPr="00DA1E2D" w:rsidRDefault="008B45CF" w:rsidP="00DA1E2D">
      <w:pPr>
        <w:pStyle w:val="Akapitzlist"/>
        <w:numPr>
          <w:ilvl w:val="1"/>
          <w:numId w:val="12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będzie trwał nieprzerwanie min. 24 godziny oraz </w:t>
      </w:r>
    </w:p>
    <w:p w14:paraId="4F296362" w14:textId="63DC5EE9" w:rsidR="008B45CF" w:rsidRPr="00DA1E2D" w:rsidRDefault="008B45CF" w:rsidP="00DA1E2D">
      <w:pPr>
        <w:pStyle w:val="Akapitzlist"/>
        <w:numPr>
          <w:ilvl w:val="1"/>
          <w:numId w:val="12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będzie miał miejsce w okresie odpowiedzialności Wykonawcy</w:t>
      </w:r>
      <w:r w:rsidR="009461C8" w:rsidRPr="00DA1E2D">
        <w:rPr>
          <w:rFonts w:cstheme="minorHAnsi"/>
        </w:rPr>
        <w:t>,</w:t>
      </w:r>
      <w:r w:rsidRPr="00DA1E2D">
        <w:rPr>
          <w:rFonts w:cstheme="minorHAnsi"/>
        </w:rPr>
        <w:t xml:space="preserve"> </w:t>
      </w:r>
    </w:p>
    <w:p w14:paraId="01D67EA5" w14:textId="4E104CC7" w:rsidR="008B45CF" w:rsidRPr="00DA1E2D" w:rsidRDefault="008B45CF" w:rsidP="00DA1E2D">
      <w:pPr>
        <w:pStyle w:val="Akapitzlist"/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Wykonawca wypłaci ubezpieczonemu dodatkowe jednorazowe świadczenie w wysokości określonej dla tego zdarzenia</w:t>
      </w:r>
      <w:r w:rsidR="0009726F">
        <w:rPr>
          <w:rFonts w:cstheme="minorHAnsi"/>
        </w:rPr>
        <w:t>.</w:t>
      </w:r>
    </w:p>
    <w:p w14:paraId="1CC543D4" w14:textId="1F0938A1" w:rsidR="008B45CF" w:rsidRPr="00DA1E2D" w:rsidRDefault="008B45CF" w:rsidP="00DA1E2D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cstheme="minorHAnsi"/>
        </w:rPr>
      </w:pPr>
      <w:r w:rsidRPr="00DA1E2D">
        <w:rPr>
          <w:rFonts w:cstheme="minorHAnsi"/>
          <w:b/>
        </w:rPr>
        <w:t>Operacja chirurgiczna</w:t>
      </w:r>
      <w:r w:rsidRPr="00DA1E2D">
        <w:rPr>
          <w:rFonts w:cstheme="minorHAnsi"/>
        </w:rPr>
        <w:t xml:space="preserve"> – zabieg chirurgiczny, wykonany w placówce medycznej na terytorium RP, w znieczuleniu ogólnym, przewodowym lub miejscowym. Wykonawca wypłaci świadczenie bez względu na czas pobytu w szpitalu i przyjętą metodę operacji. Wysokość świadczeń uzależniona będzie od rodzaju (stopnia trudności) operacji, według katalogu operacji obowiązującego u Wykonawcy zgodnie z OWU Wykonawcy. Liczba kategorii/klas/grup, według których operacje zostaną podzielone i w zależności, od których Wykonawca będzie wypłacał świadczenie, będzie zgodna z zasadami przyjętymi w OWU Wykonawcy. Wysokość świadczenia z tytułu operacji chirurgicznej podana w </w:t>
      </w:r>
      <w:r w:rsidR="007C6031" w:rsidRPr="00DA1E2D">
        <w:rPr>
          <w:rFonts w:cstheme="minorHAnsi"/>
        </w:rPr>
        <w:t>T</w:t>
      </w:r>
      <w:r w:rsidRPr="00DA1E2D">
        <w:rPr>
          <w:rFonts w:cstheme="minorHAnsi"/>
        </w:rPr>
        <w:t xml:space="preserve">abeli odpowiada najcięższym i najbardziej skomplikowanym operacjom wg klasyfikacji przyjętej w OWU Wykonawcy. </w:t>
      </w:r>
    </w:p>
    <w:p w14:paraId="56C7E539" w14:textId="77777777" w:rsidR="008B45CF" w:rsidRPr="00DA1E2D" w:rsidRDefault="008B45CF" w:rsidP="00DA1E2D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cstheme="minorHAnsi"/>
        </w:rPr>
      </w:pPr>
      <w:r w:rsidRPr="00DA1E2D">
        <w:rPr>
          <w:rFonts w:cstheme="minorHAnsi"/>
          <w:b/>
        </w:rPr>
        <w:lastRenderedPageBreak/>
        <w:t xml:space="preserve">Leczenie specjalistyczne: </w:t>
      </w:r>
      <w:r w:rsidRPr="00DA1E2D">
        <w:rPr>
          <w:rFonts w:cstheme="minorHAnsi"/>
        </w:rPr>
        <w:t>przeprowadzenie w okresie ochrony specjalistycznego leczenia u ubezpieczonego, obejmującego wykonanie jednej z poniższych procedur:</w:t>
      </w:r>
      <w:r w:rsidRPr="00DA1E2D">
        <w:rPr>
          <w:rFonts w:cstheme="minorHAnsi"/>
          <w:b/>
        </w:rPr>
        <w:t xml:space="preserve"> </w:t>
      </w:r>
    </w:p>
    <w:p w14:paraId="4DB197F1" w14:textId="1831EAB6" w:rsidR="008B45CF" w:rsidRPr="00DA1E2D" w:rsidRDefault="008B45CF" w:rsidP="00DA1E2D">
      <w:pPr>
        <w:pStyle w:val="Akapitzlist"/>
        <w:numPr>
          <w:ilvl w:val="0"/>
          <w:numId w:val="39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chemioterapii albo radioterapii w leczeniu choroby nowotworowej</w:t>
      </w:r>
      <w:r w:rsidR="009461C8" w:rsidRPr="00DA1E2D">
        <w:rPr>
          <w:rFonts w:cstheme="minorHAnsi"/>
        </w:rPr>
        <w:t>,</w:t>
      </w:r>
    </w:p>
    <w:p w14:paraId="311EE965" w14:textId="4E0613CB" w:rsidR="008B45CF" w:rsidRPr="00DA1E2D" w:rsidRDefault="008B45CF" w:rsidP="00DA1E2D">
      <w:pPr>
        <w:pStyle w:val="Akapitzlist"/>
        <w:numPr>
          <w:ilvl w:val="0"/>
          <w:numId w:val="39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terapii interferonowej w leczeniu przewlekłego wirusowego zapalenia wątroby typu C</w:t>
      </w:r>
      <w:r w:rsidR="009461C8" w:rsidRPr="00DA1E2D">
        <w:rPr>
          <w:rFonts w:cstheme="minorHAnsi"/>
        </w:rPr>
        <w:t>,</w:t>
      </w:r>
    </w:p>
    <w:p w14:paraId="09EC904D" w14:textId="77777777" w:rsidR="008B45CF" w:rsidRPr="00DA1E2D" w:rsidRDefault="008B45CF" w:rsidP="00DA1E2D">
      <w:pPr>
        <w:pStyle w:val="Akapitzlist"/>
        <w:numPr>
          <w:ilvl w:val="0"/>
          <w:numId w:val="39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wszczepieniu kardiowertera/defibrylatora – w leczeniu poważnych zaburzeń rytmu pochodzenia komorowego lub epizodów nagłego zatrzymania krążenia,</w:t>
      </w:r>
    </w:p>
    <w:p w14:paraId="53688DD2" w14:textId="5A323E1E" w:rsidR="008B45CF" w:rsidRPr="00DA1E2D" w:rsidRDefault="008B45CF" w:rsidP="00DA1E2D">
      <w:pPr>
        <w:pStyle w:val="Akapitzlist"/>
        <w:numPr>
          <w:ilvl w:val="0"/>
          <w:numId w:val="39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wszczepieniu rozrusznika serca (stymulatora serca, kardiostymulatora)</w:t>
      </w:r>
      <w:r w:rsidR="009461C8" w:rsidRPr="00DA1E2D">
        <w:rPr>
          <w:rFonts w:cstheme="minorHAnsi"/>
        </w:rPr>
        <w:t>,</w:t>
      </w:r>
    </w:p>
    <w:p w14:paraId="6D15A5CD" w14:textId="5485E9E7" w:rsidR="008B45CF" w:rsidRPr="00DA1E2D" w:rsidRDefault="008B45CF" w:rsidP="00DA1E2D">
      <w:pPr>
        <w:pStyle w:val="Akapitzlist"/>
        <w:numPr>
          <w:ilvl w:val="0"/>
          <w:numId w:val="39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ablacji - w celu leczenia zaburzeń rytmu serca</w:t>
      </w:r>
      <w:r w:rsidR="009461C8" w:rsidRPr="00DA1E2D">
        <w:rPr>
          <w:rFonts w:cstheme="minorHAnsi"/>
        </w:rPr>
        <w:t>.</w:t>
      </w:r>
    </w:p>
    <w:p w14:paraId="211F38DD" w14:textId="362DE5C4" w:rsidR="008B45CF" w:rsidRPr="00DA1E2D" w:rsidRDefault="008B45CF" w:rsidP="00DA1E2D">
      <w:pPr>
        <w:pStyle w:val="Akapitzlist"/>
        <w:spacing w:after="60" w:line="276" w:lineRule="auto"/>
        <w:ind w:left="426"/>
        <w:contextualSpacing w:val="0"/>
        <w:jc w:val="both"/>
        <w:rPr>
          <w:rFonts w:cstheme="minorHAnsi"/>
        </w:rPr>
      </w:pPr>
    </w:p>
    <w:p w14:paraId="19D46A32" w14:textId="5F18820B" w:rsidR="00FF6C3D" w:rsidRPr="00DA1E2D" w:rsidRDefault="00FF6C3D" w:rsidP="00DA1E2D">
      <w:pPr>
        <w:pStyle w:val="Akapitzlist"/>
        <w:numPr>
          <w:ilvl w:val="0"/>
          <w:numId w:val="49"/>
        </w:numPr>
        <w:spacing w:after="60" w:line="276" w:lineRule="auto"/>
        <w:ind w:left="426" w:hanging="426"/>
        <w:contextualSpacing w:val="0"/>
        <w:rPr>
          <w:rFonts w:cstheme="minorHAnsi"/>
          <w:b/>
          <w:caps/>
        </w:rPr>
      </w:pPr>
      <w:r w:rsidRPr="00DA1E2D">
        <w:rPr>
          <w:rFonts w:cstheme="minorHAnsi"/>
          <w:b/>
          <w:caps/>
        </w:rPr>
        <w:t>Fakultatywny zakres ochrony</w:t>
      </w:r>
      <w:r w:rsidR="00087F58" w:rsidRPr="00DA1E2D">
        <w:rPr>
          <w:rFonts w:cstheme="minorHAnsi"/>
          <w:b/>
          <w:caps/>
        </w:rPr>
        <w:t xml:space="preserve"> </w:t>
      </w:r>
    </w:p>
    <w:p w14:paraId="4BF9ADED" w14:textId="675E4095" w:rsidR="00FF6C3D" w:rsidRPr="00DA1E2D" w:rsidRDefault="00FF6C3D" w:rsidP="00DA1E2D">
      <w:pPr>
        <w:pStyle w:val="Akapitzlist"/>
        <w:numPr>
          <w:ilvl w:val="0"/>
          <w:numId w:val="53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Świadczenie za uszczerbek na zdrowiu wskutek nieszczęśliwego wypadku nie mający trwałego charakteru</w:t>
      </w:r>
      <w:r w:rsidR="00BB5139" w:rsidRPr="00DA1E2D">
        <w:rPr>
          <w:rFonts w:cstheme="minorHAnsi"/>
        </w:rPr>
        <w:t xml:space="preserve"> w wysokości </w:t>
      </w:r>
      <w:r w:rsidR="00A92FF5" w:rsidRPr="00DA1E2D">
        <w:rPr>
          <w:rFonts w:cstheme="minorHAnsi"/>
        </w:rPr>
        <w:t>1%.</w:t>
      </w:r>
    </w:p>
    <w:p w14:paraId="44923C42" w14:textId="0FCEF0C1" w:rsidR="00FF6C3D" w:rsidRPr="00DA1E2D" w:rsidRDefault="00FF6C3D" w:rsidP="00DA1E2D">
      <w:pPr>
        <w:pStyle w:val="Akapitzlist"/>
        <w:numPr>
          <w:ilvl w:val="0"/>
          <w:numId w:val="53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Rozszerzenie zakresu ochrony o ryzyko trwałego uszczerbku na zdrowiu wskutek zawału / udaru ze świadczeniem stanowiącym 75% świadczenia z tytułu trwałego uszczerbku na zdrowiu wskutek nieszczęśliwego wypadku.</w:t>
      </w:r>
    </w:p>
    <w:p w14:paraId="391E7DAE" w14:textId="77777777" w:rsidR="00FF6C3D" w:rsidRPr="00DA1E2D" w:rsidRDefault="00FF6C3D" w:rsidP="00DA1E2D">
      <w:pPr>
        <w:pStyle w:val="Akapitzlist"/>
        <w:numPr>
          <w:ilvl w:val="0"/>
          <w:numId w:val="53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Uwzględnienie dziennego świadczenia rekonwalescencyjnego dla ubezpieczonego w wysokości 50% „dziennego świadczenia szpitalnego wskutek choroby od 15 dnia”. Dzienne świadczenie rekonwalescencyjne płatne przez max. 30 dni po min. 14-stodniowym pobycie w szpitalu </w:t>
      </w:r>
    </w:p>
    <w:p w14:paraId="61C83D8C" w14:textId="10F6D6C9" w:rsidR="00FF6C3D" w:rsidRPr="00DA1E2D" w:rsidRDefault="00FF6C3D" w:rsidP="00DA1E2D">
      <w:pPr>
        <w:pStyle w:val="Akapitzlist"/>
        <w:numPr>
          <w:ilvl w:val="0"/>
          <w:numId w:val="53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Rozszerzenie zakresu terytorialnego dla ryzyka pobytu w szpitalu i związanego z nim dziennego świadczenia szpitalnego na cały świat.</w:t>
      </w:r>
    </w:p>
    <w:p w14:paraId="59EE0CAF" w14:textId="689A991C" w:rsidR="00FF6C3D" w:rsidRPr="00DA1E2D" w:rsidRDefault="00FF6C3D" w:rsidP="00DA1E2D">
      <w:pPr>
        <w:pStyle w:val="Akapitzlist"/>
        <w:numPr>
          <w:ilvl w:val="0"/>
          <w:numId w:val="53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Rozszerzenie zakresu terytorialnego dla ryzyka operacji medycznych na UE.</w:t>
      </w:r>
    </w:p>
    <w:p w14:paraId="1C6973D6" w14:textId="67405503" w:rsidR="00FF6C3D" w:rsidRPr="00DA1E2D" w:rsidRDefault="00FF6C3D" w:rsidP="00DA1E2D">
      <w:pPr>
        <w:pStyle w:val="Akapitzlist"/>
        <w:numPr>
          <w:ilvl w:val="0"/>
          <w:numId w:val="53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Ryczałt na leki: ś</w:t>
      </w:r>
      <w:r w:rsidRPr="00DA1E2D">
        <w:t xml:space="preserve">wiadczenie pieniężne w kwocie min. 150 zł na pokrycie kosztów nabycia przez Ubezpieczonego leków po pobycie w szpitalu, wypłacane wraz z wypłatą świadczenia z tytułu pobytu w szpitalu (przynajmniej 3 razy w roku polisowym). Wykonawca nie będzie wymagał od Ubezpieczonego przedstawienia rachunków lub recept na zakupione leki. </w:t>
      </w:r>
    </w:p>
    <w:p w14:paraId="148D9F8D" w14:textId="2A0A4D67" w:rsidR="00FF6C3D" w:rsidRPr="00DA1E2D" w:rsidRDefault="00FF6C3D" w:rsidP="00DA1E2D">
      <w:pPr>
        <w:pStyle w:val="Akapitzlist"/>
        <w:numPr>
          <w:ilvl w:val="0"/>
          <w:numId w:val="53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Wypłata świadczenia z tytułu poronienia w wysokości 30% świadczenia z tytułu urodzenia dziecka.</w:t>
      </w:r>
    </w:p>
    <w:p w14:paraId="182EB0A7" w14:textId="68481ED0" w:rsidR="00FF6C3D" w:rsidRPr="00DA1E2D" w:rsidRDefault="00FF6C3D" w:rsidP="00DA1E2D">
      <w:pPr>
        <w:pStyle w:val="Akapitzlist"/>
        <w:numPr>
          <w:ilvl w:val="0"/>
          <w:numId w:val="53"/>
        </w:numPr>
        <w:spacing w:after="60" w:line="276" w:lineRule="auto"/>
        <w:contextualSpacing w:val="0"/>
        <w:jc w:val="both"/>
        <w:rPr>
          <w:rFonts w:cstheme="minorHAnsi"/>
        </w:rPr>
      </w:pPr>
      <w:bookmarkStart w:id="9" w:name="_Hlk7909795"/>
      <w:r w:rsidRPr="00DA1E2D">
        <w:t xml:space="preserve">Wypłata świadczenia w przypadku przeprowadzenia operacji chirurgicznej nie ujętej w zamkniętym katalogu Wykonawcy w kwocie </w:t>
      </w:r>
      <w:r w:rsidRPr="00DA1E2D">
        <w:rPr>
          <w:rFonts w:cstheme="minorHAnsi"/>
        </w:rPr>
        <w:t>co najmniej równej świadczeniu przewidzianemu dla najniższej klasy / kategorii / grupy operacji</w:t>
      </w:r>
      <w:bookmarkEnd w:id="9"/>
      <w:r w:rsidRPr="00DA1E2D">
        <w:rPr>
          <w:rFonts w:cstheme="minorHAnsi"/>
        </w:rPr>
        <w:t>.</w:t>
      </w:r>
    </w:p>
    <w:p w14:paraId="523BB4A2" w14:textId="777A2F11" w:rsidR="00FF6C3D" w:rsidRPr="00DA1E2D" w:rsidRDefault="00FF6C3D" w:rsidP="00DA1E2D">
      <w:pPr>
        <w:pStyle w:val="Akapitzlist"/>
        <w:numPr>
          <w:ilvl w:val="0"/>
          <w:numId w:val="53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Rozszerzenie zakresu poważnych zachorowań ubezpieczonego o dodatkowe jednostki chorobowe. </w:t>
      </w:r>
    </w:p>
    <w:p w14:paraId="5E76CB7B" w14:textId="77777777" w:rsidR="00FF6C3D" w:rsidRPr="00DA1E2D" w:rsidRDefault="00FF6C3D" w:rsidP="00DA1E2D">
      <w:pPr>
        <w:pStyle w:val="Akapitzlist"/>
        <w:numPr>
          <w:ilvl w:val="0"/>
          <w:numId w:val="53"/>
        </w:numPr>
        <w:spacing w:after="60" w:line="276" w:lineRule="auto"/>
        <w:contextualSpacing w:val="0"/>
        <w:jc w:val="both"/>
        <w:rPr>
          <w:rFonts w:cstheme="minorHAnsi"/>
        </w:rPr>
      </w:pPr>
      <w:bookmarkStart w:id="10" w:name="_Hlk7909976"/>
      <w:r w:rsidRPr="00DA1E2D">
        <w:rPr>
          <w:rFonts w:cstheme="minorHAnsi"/>
        </w:rPr>
        <w:t>Wypłata świadczenia bez względu na wiek dziecka dla ryzyka śmierci dziecka.</w:t>
      </w:r>
      <w:bookmarkEnd w:id="10"/>
    </w:p>
    <w:p w14:paraId="71CD8942" w14:textId="6B2F88C2" w:rsidR="00FF6C3D" w:rsidRPr="00DA1E2D" w:rsidRDefault="00FF6C3D" w:rsidP="00DA1E2D">
      <w:pPr>
        <w:pStyle w:val="Akapitzlist"/>
        <w:numPr>
          <w:ilvl w:val="0"/>
          <w:numId w:val="53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Przyjęcie następującej definicji zawału dla celów ryzyka śmierci oraz trwałego uszczerbku na zdrowiu wskutek zawału: „Pierwszorazowe wystąpienie martwicy ograniczonego obszaru mięśnia sercowego jako skutek ostrego niedokrwienia rozpoznane </w:t>
      </w:r>
      <w:r w:rsidR="007341AD" w:rsidRPr="00DA1E2D">
        <w:rPr>
          <w:rFonts w:cstheme="minorHAnsi"/>
        </w:rPr>
        <w:t>i potwierdzone przez lekarza w oparciu o aktualną wiedzę medyczną</w:t>
      </w:r>
      <w:r w:rsidRPr="00DA1E2D">
        <w:rPr>
          <w:rFonts w:cstheme="minorHAnsi"/>
        </w:rPr>
        <w:t>.”</w:t>
      </w:r>
      <w:r w:rsidR="007341AD" w:rsidRPr="00DA1E2D">
        <w:t xml:space="preserve"> </w:t>
      </w:r>
    </w:p>
    <w:p w14:paraId="25F63027" w14:textId="474CCF26" w:rsidR="00FF6C3D" w:rsidRPr="00DA1E2D" w:rsidRDefault="00FF6C3D" w:rsidP="00DA1E2D">
      <w:pPr>
        <w:pStyle w:val="Akapitzlist"/>
        <w:numPr>
          <w:ilvl w:val="0"/>
          <w:numId w:val="53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 xml:space="preserve">Przyjęcie następującej definicji udaru dla celów ryzyka śmierci oraz trwałego uszczerbku na zdrowiu wskutek udaru: „Nagłe, ogniskowe </w:t>
      </w:r>
      <w:r w:rsidR="007341AD" w:rsidRPr="00DA1E2D">
        <w:t xml:space="preserve">lub uogólnione </w:t>
      </w:r>
      <w:r w:rsidRPr="00DA1E2D">
        <w:rPr>
          <w:rFonts w:cstheme="minorHAnsi"/>
        </w:rPr>
        <w:t>i nieodwracalne uszkodzenie mózgu powstałe w następstwie zmian naczyniowych</w:t>
      </w:r>
      <w:r w:rsidRPr="00DA1E2D">
        <w:t xml:space="preserve"> </w:t>
      </w:r>
      <w:r w:rsidRPr="00DA1E2D">
        <w:rPr>
          <w:rFonts w:cstheme="minorHAnsi"/>
        </w:rPr>
        <w:t>(wylew krwi do mózgu lub zatrzymanie dopływu krwi do mózgu lub zator), powodujące powstanie trwałych ubytków neurologicznych</w:t>
      </w:r>
      <w:r w:rsidR="00087F58" w:rsidRPr="00DA1E2D">
        <w:rPr>
          <w:rFonts w:cstheme="minorHAnsi"/>
        </w:rPr>
        <w:t>, rozpoznane i potwierdzone przez lekarza w oparciu o aktualną wiedzę medyczną,</w:t>
      </w:r>
      <w:r w:rsidRPr="00DA1E2D">
        <w:rPr>
          <w:rFonts w:cstheme="minorHAnsi"/>
        </w:rPr>
        <w:t xml:space="preserve"> za wyjątkiem epizodów </w:t>
      </w:r>
      <w:r w:rsidRPr="00DA1E2D">
        <w:rPr>
          <w:rFonts w:cstheme="minorHAnsi"/>
        </w:rPr>
        <w:lastRenderedPageBreak/>
        <w:t xml:space="preserve">przemijającego niedokrwienia mózgu lub uszkodzenia mózgu w następstwie krwawienia śródczaszkowego spowodowanego urazem zewnętrznym.” </w:t>
      </w:r>
    </w:p>
    <w:p w14:paraId="70A2096E" w14:textId="77777777" w:rsidR="00FF6C3D" w:rsidRPr="00DA1E2D" w:rsidRDefault="00FF6C3D" w:rsidP="00DA1E2D">
      <w:pPr>
        <w:pStyle w:val="Akapitzlist"/>
        <w:numPr>
          <w:ilvl w:val="0"/>
          <w:numId w:val="53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Gwarancja możliwości zmiany wariantu ubezpieczenia przez osobę ubezpieczoną w rocznicę wdrożenia programu (rocznica polisy) bez stosowania karencji na nadwyżki świadczeń powstające w wyniku zmiany z zastrzeżeniem innych warunków programu grupowego ubezpieczenia na życie.</w:t>
      </w:r>
    </w:p>
    <w:p w14:paraId="1350A2D2" w14:textId="307D3406" w:rsidR="00FF6C3D" w:rsidRPr="00DA1E2D" w:rsidRDefault="00FF6C3D" w:rsidP="00DA1E2D">
      <w:pPr>
        <w:pStyle w:val="Akapitzlist"/>
        <w:numPr>
          <w:ilvl w:val="0"/>
          <w:numId w:val="53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Zniesienie karencji dla osób przystępujących w rocznicę wdrożenia programu (rocznica polisy)</w:t>
      </w:r>
      <w:r w:rsidR="00875AF1">
        <w:rPr>
          <w:rFonts w:cstheme="minorHAnsi"/>
        </w:rPr>
        <w:t>.</w:t>
      </w:r>
    </w:p>
    <w:p w14:paraId="17830E76" w14:textId="53243E77" w:rsidR="00FF6C3D" w:rsidRDefault="00FF6C3D" w:rsidP="00DA1E2D">
      <w:pPr>
        <w:pStyle w:val="Akapitzlist"/>
        <w:numPr>
          <w:ilvl w:val="0"/>
          <w:numId w:val="53"/>
        </w:numPr>
        <w:spacing w:after="60" w:line="276" w:lineRule="auto"/>
        <w:contextualSpacing w:val="0"/>
        <w:jc w:val="both"/>
        <w:rPr>
          <w:rFonts w:cstheme="minorHAnsi"/>
        </w:rPr>
      </w:pPr>
      <w:r w:rsidRPr="00DA1E2D">
        <w:rPr>
          <w:rFonts w:cstheme="minorHAnsi"/>
        </w:rPr>
        <w:t>Usługi assistance</w:t>
      </w:r>
      <w:r w:rsidR="00875AF1">
        <w:rPr>
          <w:rFonts w:cstheme="minorHAnsi"/>
        </w:rPr>
        <w:t>.</w:t>
      </w:r>
    </w:p>
    <w:p w14:paraId="35DABF21" w14:textId="7ABF7CEF" w:rsidR="00875AF1" w:rsidRPr="001D60E0" w:rsidRDefault="00875AF1" w:rsidP="00DA1E2D">
      <w:pPr>
        <w:pStyle w:val="Akapitzlist"/>
        <w:numPr>
          <w:ilvl w:val="0"/>
          <w:numId w:val="53"/>
        </w:numPr>
        <w:spacing w:after="60" w:line="276" w:lineRule="auto"/>
        <w:contextualSpacing w:val="0"/>
        <w:jc w:val="both"/>
        <w:rPr>
          <w:rFonts w:cstheme="minorHAnsi"/>
        </w:rPr>
      </w:pPr>
      <w:r w:rsidRPr="00EE460A">
        <w:rPr>
          <w:rFonts w:cstheme="minorHAnsi"/>
        </w:rPr>
        <w:t>Wypłata świadczenia za pobyt w szpitalu z tytułu nieszczęśliwego wypadku przez cały okres pobytu w szpitalu spowodowany nieszczęśliwym wypadkiem powyżej 14 dni w tej samej wysokości co do 14 dni</w:t>
      </w:r>
      <w:r w:rsidRPr="001D60E0">
        <w:rPr>
          <w:rFonts w:cstheme="minorHAnsi"/>
        </w:rPr>
        <w:t>.</w:t>
      </w:r>
    </w:p>
    <w:p w14:paraId="1F28CB1F" w14:textId="7B05261F" w:rsidR="0020282F" w:rsidRPr="001D60E0" w:rsidRDefault="0020282F" w:rsidP="00DA1E2D">
      <w:pPr>
        <w:pStyle w:val="Akapitzlist"/>
        <w:numPr>
          <w:ilvl w:val="0"/>
          <w:numId w:val="53"/>
        </w:numPr>
        <w:spacing w:after="60" w:line="276" w:lineRule="auto"/>
        <w:contextualSpacing w:val="0"/>
        <w:jc w:val="both"/>
        <w:rPr>
          <w:rFonts w:cstheme="minorHAnsi"/>
        </w:rPr>
      </w:pPr>
      <w:r w:rsidRPr="00EE460A">
        <w:rPr>
          <w:rFonts w:ascii="Calibri" w:hAnsi="Calibri"/>
        </w:rPr>
        <w:t>Prawo do indywidualnej kontynuacji ubezpieczenia przez pierwsze 12 miesięcy na warunkach ubezpieczenia grupowego.</w:t>
      </w:r>
    </w:p>
    <w:p w14:paraId="56FBD2FB" w14:textId="18077BEB" w:rsidR="00087F58" w:rsidRPr="00DA1E2D" w:rsidRDefault="00087F58" w:rsidP="00DA1E2D">
      <w:pPr>
        <w:spacing w:after="60" w:line="276" w:lineRule="auto"/>
        <w:jc w:val="both"/>
        <w:rPr>
          <w:rFonts w:cstheme="minorHAnsi"/>
        </w:rPr>
      </w:pPr>
      <w:r w:rsidRPr="00DA1E2D">
        <w:rPr>
          <w:rFonts w:cstheme="minorHAnsi"/>
        </w:rPr>
        <w:t>Zaoferowanie wyżej wymienionych świadczeń i klauzul nie jest obowiązkowe</w:t>
      </w:r>
      <w:r w:rsidR="0081071A">
        <w:rPr>
          <w:rFonts w:cstheme="minorHAnsi"/>
        </w:rPr>
        <w:t>,</w:t>
      </w:r>
      <w:r w:rsidRPr="00DA1E2D">
        <w:rPr>
          <w:rFonts w:cstheme="minorHAnsi"/>
        </w:rPr>
        <w:t xml:space="preserve"> ale będzie podlegało ocenie zgodnie z kryteriami oceny ofert.</w:t>
      </w:r>
    </w:p>
    <w:p w14:paraId="6A774E4C" w14:textId="51BE03E1" w:rsidR="000A591B" w:rsidRDefault="000A591B" w:rsidP="00EE460A"/>
    <w:p w14:paraId="6CDA3650" w14:textId="77777777" w:rsidR="000A591B" w:rsidRDefault="000A591B" w:rsidP="00EE460A">
      <w:pPr>
        <w:spacing w:after="60" w:line="276" w:lineRule="auto"/>
      </w:pPr>
    </w:p>
    <w:p w14:paraId="16C9D74D" w14:textId="71A8D08E" w:rsidR="000A591B" w:rsidRPr="00933A8E" w:rsidRDefault="00933A8E" w:rsidP="00EE460A">
      <w:pPr>
        <w:spacing w:after="60" w:line="276" w:lineRule="auto"/>
        <w:jc w:val="right"/>
        <w:rPr>
          <w:b/>
        </w:rPr>
      </w:pPr>
      <w:r>
        <w:br w:type="column"/>
      </w:r>
      <w:r w:rsidRPr="00933A8E">
        <w:rPr>
          <w:b/>
        </w:rPr>
        <w:lastRenderedPageBreak/>
        <w:t>Załącznik</w:t>
      </w:r>
      <w:r w:rsidR="000A591B" w:rsidRPr="00933A8E">
        <w:rPr>
          <w:b/>
        </w:rPr>
        <w:t xml:space="preserve"> nr </w:t>
      </w:r>
      <w:r>
        <w:rPr>
          <w:b/>
        </w:rPr>
        <w:t>1 do OPZ</w:t>
      </w:r>
      <w:r w:rsidR="000A591B" w:rsidRPr="00933A8E">
        <w:rPr>
          <w:b/>
        </w:rPr>
        <w:t xml:space="preserve">  </w:t>
      </w:r>
    </w:p>
    <w:p w14:paraId="2494D05A" w14:textId="77777777" w:rsidR="000A591B" w:rsidRPr="00933A8E" w:rsidRDefault="000A591B" w:rsidP="00EE460A">
      <w:pPr>
        <w:spacing w:after="60" w:line="276" w:lineRule="auto"/>
        <w:jc w:val="right"/>
        <w:rPr>
          <w:b/>
        </w:rPr>
      </w:pPr>
      <w:r w:rsidRPr="00933A8E">
        <w:rPr>
          <w:b/>
        </w:rPr>
        <w:t xml:space="preserve">Aktualne dane dotyczące wieku i płci Pracowników Zamawiającego </w:t>
      </w:r>
    </w:p>
    <w:p w14:paraId="49A1A8B2" w14:textId="4A33B0C2" w:rsidR="000A591B" w:rsidRDefault="000A591B" w:rsidP="00EE460A">
      <w:pPr>
        <w:spacing w:after="60" w:line="276" w:lineRule="auto"/>
      </w:pPr>
    </w:p>
    <w:tbl>
      <w:tblPr>
        <w:tblW w:w="9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1"/>
        <w:gridCol w:w="3222"/>
        <w:gridCol w:w="3222"/>
      </w:tblGrid>
      <w:tr w:rsidR="009B4293" w:rsidRPr="009B4293" w14:paraId="7CD754F1" w14:textId="77777777" w:rsidTr="002C6CA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B226" w14:textId="77777777" w:rsidR="009B4293" w:rsidRPr="009B4293" w:rsidRDefault="009B4293" w:rsidP="009B4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4293">
              <w:rPr>
                <w:rFonts w:ascii="Calibri" w:eastAsia="Times New Roman" w:hAnsi="Calibri" w:cs="Calibri"/>
                <w:color w:val="000000"/>
                <w:lang w:eastAsia="pl-PL"/>
              </w:rPr>
              <w:t>stan na 31.05.2019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1C9F" w14:textId="77777777" w:rsidR="009B4293" w:rsidRPr="009B4293" w:rsidRDefault="009B4293" w:rsidP="009B4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B7CF" w14:textId="77777777" w:rsidR="009B4293" w:rsidRPr="009B4293" w:rsidRDefault="009B4293" w:rsidP="009B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C6CAE" w:rsidRPr="002C6CAE" w14:paraId="745D02D5" w14:textId="77777777" w:rsidTr="002C6CAE">
        <w:trPr>
          <w:trHeight w:val="499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12831A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wiek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3C4A4B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Liczba kobiet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B14E3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Liczba mężczyzn</w:t>
            </w:r>
          </w:p>
        </w:tc>
      </w:tr>
      <w:tr w:rsidR="002C6CAE" w:rsidRPr="002C6CAE" w14:paraId="56962F2E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9253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5830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1B3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2C6CAE" w:rsidRPr="002C6CAE" w14:paraId="0E6DA4B4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DAEA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2FBA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E1EA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2C6CAE" w:rsidRPr="002C6CAE" w14:paraId="2F9F5083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46F0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2BD7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E253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2C6CAE" w:rsidRPr="002C6CAE" w14:paraId="36156721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7A93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09BA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2AD8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2C6CAE" w:rsidRPr="002C6CAE" w14:paraId="249E739B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1B7A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03E5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234F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2C6CAE" w:rsidRPr="002C6CAE" w14:paraId="12BC8E84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B5FB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529F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8218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2C6CAE" w:rsidRPr="002C6CAE" w14:paraId="35395D7A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0F7B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BDFF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B115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2C6CAE" w:rsidRPr="002C6CAE" w14:paraId="0D7EFD6F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EBE8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447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97F9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  <w:tr w:rsidR="002C6CAE" w:rsidRPr="002C6CAE" w14:paraId="77B0DFFF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33DC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6306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D0CB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2C6CAE" w:rsidRPr="002C6CAE" w14:paraId="12FD6258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3B30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7C87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0396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</w:tr>
      <w:tr w:rsidR="002C6CAE" w:rsidRPr="002C6CAE" w14:paraId="09232DD1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7D13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F0BB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23EE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2C6CAE" w:rsidRPr="002C6CAE" w14:paraId="61FC4524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61ED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8103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279B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</w:tr>
      <w:tr w:rsidR="002C6CAE" w:rsidRPr="002C6CAE" w14:paraId="36AF743E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5C22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46F6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3791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</w:tr>
      <w:tr w:rsidR="002C6CAE" w:rsidRPr="002C6CAE" w14:paraId="0E345B27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3BB4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1F50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1F5F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</w:tr>
      <w:tr w:rsidR="002C6CAE" w:rsidRPr="002C6CAE" w14:paraId="3058A808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A044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13E9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CF3A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</w:tr>
      <w:tr w:rsidR="002C6CAE" w:rsidRPr="002C6CAE" w14:paraId="475A712C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0B14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E5BE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7DF1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</w:tr>
      <w:tr w:rsidR="002C6CAE" w:rsidRPr="002C6CAE" w14:paraId="29248EF1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9107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B6E5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6B0C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2C6CAE" w:rsidRPr="002C6CAE" w14:paraId="4E4CD040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7662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8EB3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6809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</w:tr>
      <w:tr w:rsidR="002C6CAE" w:rsidRPr="002C6CAE" w14:paraId="48573D5D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FCD1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C867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CF3D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</w:tr>
      <w:tr w:rsidR="002C6CAE" w:rsidRPr="002C6CAE" w14:paraId="29E51F95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E955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45D6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E20E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</w:tr>
      <w:tr w:rsidR="002C6CAE" w:rsidRPr="002C6CAE" w14:paraId="3B18B211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7191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AABB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A6B9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</w:tr>
      <w:tr w:rsidR="002C6CAE" w:rsidRPr="002C6CAE" w14:paraId="6DC06122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0C1E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C1DA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91B3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</w:tr>
      <w:tr w:rsidR="002C6CAE" w:rsidRPr="002C6CAE" w14:paraId="0A7E03A0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3EC8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21A6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B079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</w:tr>
      <w:tr w:rsidR="002C6CAE" w:rsidRPr="002C6CAE" w14:paraId="1998BBDE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D9BC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B525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40F4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</w:tr>
      <w:tr w:rsidR="002C6CAE" w:rsidRPr="002C6CAE" w14:paraId="093227BA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E45B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2D15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570B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  <w:tr w:rsidR="002C6CAE" w:rsidRPr="002C6CAE" w14:paraId="14D904E1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BF2B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C217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D4A9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  <w:tr w:rsidR="002C6CAE" w:rsidRPr="002C6CAE" w14:paraId="1A029A3D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E907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A1B5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99BC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2C6CAE" w:rsidRPr="002C6CAE" w14:paraId="5738D2CA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E0F0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3BAA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D8ED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2C6CAE" w:rsidRPr="002C6CAE" w14:paraId="536B3249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6F4B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56E6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C0C5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2C6CAE" w:rsidRPr="002C6CAE" w14:paraId="3F0C1BDE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09F0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19D8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759F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2C6CAE" w:rsidRPr="002C6CAE" w14:paraId="1733FE54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FBF3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6D1F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21EA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  <w:tr w:rsidR="002C6CAE" w:rsidRPr="002C6CAE" w14:paraId="7B6598C2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9AC8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C252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B18F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2C6CAE" w:rsidRPr="002C6CAE" w14:paraId="78F30E0F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3434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6DC2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6E29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2C6CAE" w:rsidRPr="002C6CAE" w14:paraId="5BE473D1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41B9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1BD2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F0F3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2C6CAE" w:rsidRPr="002C6CAE" w14:paraId="58CBCFB6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F516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36DE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AF60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2C6CAE" w:rsidRPr="002C6CAE" w14:paraId="19AB841A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7128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BE8F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422D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2C6CAE" w:rsidRPr="002C6CAE" w14:paraId="1D19CE84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A56C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011E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B06B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2C6CAE" w:rsidRPr="002C6CAE" w14:paraId="14C189A0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6909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31E5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FDCE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2C6CAE" w:rsidRPr="002C6CAE" w14:paraId="6EE7DA7C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8508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6FCD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FAE4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2C6CAE" w:rsidRPr="002C6CAE" w14:paraId="662AAF03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C932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70A3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DF27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  <w:tr w:rsidR="002C6CAE" w:rsidRPr="002C6CAE" w14:paraId="770295CF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E9BF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0E31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446A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2C6CAE" w:rsidRPr="002C6CAE" w14:paraId="37DD34F3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176B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2909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E47C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2C6CAE" w:rsidRPr="002C6CAE" w14:paraId="06E4C465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2831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B871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9C52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2C6CAE" w:rsidRPr="002C6CAE" w14:paraId="4B0D66CA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F890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63B0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1354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2C6CAE" w:rsidRPr="002C6CAE" w14:paraId="3DF7DB35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352A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67AB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FC0B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2C6CAE" w:rsidRPr="002C6CAE" w14:paraId="2C9713EF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5658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62DC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532F" w14:textId="77777777" w:rsidR="002C6CAE" w:rsidRPr="002C6CAE" w:rsidRDefault="002C6CAE" w:rsidP="002C6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2C6CAE" w:rsidRPr="002C6CAE" w14:paraId="74EA3337" w14:textId="77777777" w:rsidTr="002C6CAE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73D8" w14:textId="77777777" w:rsidR="002C6CAE" w:rsidRPr="002C6CAE" w:rsidRDefault="002C6CAE" w:rsidP="002C6C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razem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EBE6" w14:textId="77777777" w:rsidR="002C6CAE" w:rsidRPr="002C6CAE" w:rsidRDefault="002C6CAE" w:rsidP="002C6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416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CCDD" w14:textId="77777777" w:rsidR="002C6CAE" w:rsidRPr="002C6CAE" w:rsidRDefault="002C6CAE" w:rsidP="002C6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6CAE">
              <w:rPr>
                <w:rFonts w:ascii="Calibri" w:eastAsia="Times New Roman" w:hAnsi="Calibri" w:cs="Times New Roman"/>
                <w:color w:val="000000"/>
                <w:lang w:eastAsia="pl-PL"/>
              </w:rPr>
              <w:t>169</w:t>
            </w:r>
          </w:p>
        </w:tc>
      </w:tr>
    </w:tbl>
    <w:p w14:paraId="3C10EA41" w14:textId="77777777" w:rsidR="009B4293" w:rsidRPr="00DA1E2D" w:rsidRDefault="009B4293" w:rsidP="00EE460A">
      <w:pPr>
        <w:spacing w:after="60" w:line="276" w:lineRule="auto"/>
      </w:pPr>
    </w:p>
    <w:sectPr w:rsidR="009B4293" w:rsidRPr="00DA1E2D" w:rsidSect="001E0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BFE0E" w14:textId="77777777" w:rsidR="00F3288B" w:rsidRDefault="00F3288B" w:rsidP="00AD6727">
      <w:pPr>
        <w:spacing w:after="0" w:line="240" w:lineRule="auto"/>
      </w:pPr>
      <w:r>
        <w:separator/>
      </w:r>
    </w:p>
  </w:endnote>
  <w:endnote w:type="continuationSeparator" w:id="0">
    <w:p w14:paraId="4ECF8B75" w14:textId="77777777" w:rsidR="00F3288B" w:rsidRDefault="00F3288B" w:rsidP="00AD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1771D" w14:textId="77777777" w:rsidR="00F3288B" w:rsidRDefault="00F3288B" w:rsidP="00AD6727">
      <w:pPr>
        <w:spacing w:after="0" w:line="240" w:lineRule="auto"/>
      </w:pPr>
      <w:r>
        <w:separator/>
      </w:r>
    </w:p>
  </w:footnote>
  <w:footnote w:type="continuationSeparator" w:id="0">
    <w:p w14:paraId="5BAEF805" w14:textId="77777777" w:rsidR="00F3288B" w:rsidRDefault="00F3288B" w:rsidP="00AD6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276"/>
    <w:multiLevelType w:val="hybridMultilevel"/>
    <w:tmpl w:val="9322EFF4"/>
    <w:lvl w:ilvl="0" w:tplc="0415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AB1AB4"/>
    <w:multiLevelType w:val="hybridMultilevel"/>
    <w:tmpl w:val="01662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C82"/>
    <w:multiLevelType w:val="hybridMultilevel"/>
    <w:tmpl w:val="5FB4F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C749A"/>
    <w:multiLevelType w:val="hybridMultilevel"/>
    <w:tmpl w:val="B62A2204"/>
    <w:lvl w:ilvl="0" w:tplc="434E86C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66395"/>
    <w:multiLevelType w:val="hybridMultilevel"/>
    <w:tmpl w:val="8250A5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43460"/>
    <w:multiLevelType w:val="hybridMultilevel"/>
    <w:tmpl w:val="FEA47E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F238C"/>
    <w:multiLevelType w:val="hybridMultilevel"/>
    <w:tmpl w:val="7DD00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D0943"/>
    <w:multiLevelType w:val="hybridMultilevel"/>
    <w:tmpl w:val="ABD6A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D04FF"/>
    <w:multiLevelType w:val="hybridMultilevel"/>
    <w:tmpl w:val="AEE2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76B1F"/>
    <w:multiLevelType w:val="hybridMultilevel"/>
    <w:tmpl w:val="E1AE7478"/>
    <w:lvl w:ilvl="0" w:tplc="1062DB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B11EB9"/>
    <w:multiLevelType w:val="hybridMultilevel"/>
    <w:tmpl w:val="B72A4FE8"/>
    <w:lvl w:ilvl="0" w:tplc="F1260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80772"/>
    <w:multiLevelType w:val="hybridMultilevel"/>
    <w:tmpl w:val="9F0618A0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1DA466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CF0E9C"/>
    <w:multiLevelType w:val="hybridMultilevel"/>
    <w:tmpl w:val="B7A2414A"/>
    <w:lvl w:ilvl="0" w:tplc="26E6D3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51F61"/>
    <w:multiLevelType w:val="hybridMultilevel"/>
    <w:tmpl w:val="595EF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426FE"/>
    <w:multiLevelType w:val="hybridMultilevel"/>
    <w:tmpl w:val="B260836C"/>
    <w:lvl w:ilvl="0" w:tplc="87AA1B1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07438"/>
    <w:multiLevelType w:val="hybridMultilevel"/>
    <w:tmpl w:val="064AC712"/>
    <w:lvl w:ilvl="0" w:tplc="0415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7679DE"/>
    <w:multiLevelType w:val="hybridMultilevel"/>
    <w:tmpl w:val="44BE8A3A"/>
    <w:lvl w:ilvl="0" w:tplc="3EA25640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289F21B7"/>
    <w:multiLevelType w:val="hybridMultilevel"/>
    <w:tmpl w:val="44BE8A3A"/>
    <w:lvl w:ilvl="0" w:tplc="3EA2564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F789E"/>
    <w:multiLevelType w:val="hybridMultilevel"/>
    <w:tmpl w:val="3FD08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24CCB"/>
    <w:multiLevelType w:val="hybridMultilevel"/>
    <w:tmpl w:val="2DF42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B08F9"/>
    <w:multiLevelType w:val="hybridMultilevel"/>
    <w:tmpl w:val="D9C04E26"/>
    <w:lvl w:ilvl="0" w:tplc="5AE21CD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349D0"/>
    <w:multiLevelType w:val="hybridMultilevel"/>
    <w:tmpl w:val="426EF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F4EE6"/>
    <w:multiLevelType w:val="hybridMultilevel"/>
    <w:tmpl w:val="42541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B5E4E"/>
    <w:multiLevelType w:val="hybridMultilevel"/>
    <w:tmpl w:val="BCCC79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C510C"/>
    <w:multiLevelType w:val="hybridMultilevel"/>
    <w:tmpl w:val="ADECEBD0"/>
    <w:lvl w:ilvl="0" w:tplc="3104D67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54E5B"/>
    <w:multiLevelType w:val="hybridMultilevel"/>
    <w:tmpl w:val="AF42E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07335"/>
    <w:multiLevelType w:val="multilevel"/>
    <w:tmpl w:val="78A00AB4"/>
    <w:lvl w:ilvl="0">
      <w:start w:val="1"/>
      <w:numFmt w:val="upperRoman"/>
      <w:pStyle w:val="Nagwek1"/>
      <w:suff w:val="space"/>
      <w:lvlText w:val="Rozdział %1"/>
      <w:lvlJc w:val="left"/>
      <w:pPr>
        <w:ind w:left="284" w:hanging="284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Nagwek2"/>
      <w:suff w:val="nothing"/>
      <w:lvlText w:val=""/>
      <w:lvlJc w:val="left"/>
      <w:pPr>
        <w:ind w:left="284" w:hanging="284"/>
      </w:pPr>
    </w:lvl>
    <w:lvl w:ilvl="2">
      <w:start w:val="1"/>
      <w:numFmt w:val="upperRoman"/>
      <w:pStyle w:val="Nagwek3"/>
      <w:suff w:val="nothing"/>
      <w:lvlText w:val="%3."/>
      <w:lvlJc w:val="left"/>
      <w:pPr>
        <w:ind w:left="340" w:hanging="340"/>
      </w:pPr>
      <w:rPr>
        <w:spacing w:val="0"/>
        <w:w w:val="100"/>
        <w:kern w:val="16"/>
        <w:position w:val="0"/>
      </w:rPr>
    </w:lvl>
    <w:lvl w:ilvl="3">
      <w:start w:val="1"/>
      <w:numFmt w:val="decimal"/>
      <w:pStyle w:val="Nagwek4"/>
      <w:suff w:val="nothing"/>
      <w:lvlText w:val="%4."/>
      <w:lvlJc w:val="left"/>
      <w:pPr>
        <w:ind w:left="284" w:hanging="284"/>
      </w:pPr>
    </w:lvl>
    <w:lvl w:ilvl="4">
      <w:start w:val="1"/>
      <w:numFmt w:val="decimal"/>
      <w:pStyle w:val="Nagwek5"/>
      <w:suff w:val="nothing"/>
      <w:lvlText w:val="%4.%5."/>
      <w:lvlJc w:val="left"/>
      <w:pPr>
        <w:ind w:left="284" w:hanging="284"/>
      </w:pPr>
    </w:lvl>
    <w:lvl w:ilvl="5">
      <w:start w:val="1"/>
      <w:numFmt w:val="upperLetter"/>
      <w:pStyle w:val="Nagwek6"/>
      <w:suff w:val="nothing"/>
      <w:lvlText w:val="%6."/>
      <w:lvlJc w:val="left"/>
      <w:pPr>
        <w:ind w:left="284" w:hanging="284"/>
      </w:pPr>
    </w:lvl>
    <w:lvl w:ilvl="6">
      <w:start w:val="1"/>
      <w:numFmt w:val="lowerLetter"/>
      <w:pStyle w:val="Nagwek7"/>
      <w:suff w:val="nothing"/>
      <w:lvlText w:val="%7."/>
      <w:lvlJc w:val="left"/>
      <w:pPr>
        <w:ind w:left="284" w:hanging="284"/>
      </w:pPr>
    </w:lvl>
    <w:lvl w:ilvl="7">
      <w:start w:val="1"/>
      <w:numFmt w:val="bullet"/>
      <w:pStyle w:val="Nagwek8"/>
      <w:suff w:val="nothing"/>
      <w:lvlText w:val=""/>
      <w:lvlJc w:val="left"/>
      <w:pPr>
        <w:ind w:left="284" w:hanging="284"/>
      </w:pPr>
      <w:rPr>
        <w:rFonts w:ascii="Symbol" w:hAnsi="Symbol"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284" w:hanging="284"/>
      </w:pPr>
    </w:lvl>
  </w:abstractNum>
  <w:abstractNum w:abstractNumId="28" w15:restartNumberingAfterBreak="0">
    <w:nsid w:val="49F506D1"/>
    <w:multiLevelType w:val="hybridMultilevel"/>
    <w:tmpl w:val="111EF11E"/>
    <w:lvl w:ilvl="0" w:tplc="507E7E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4456C"/>
    <w:multiLevelType w:val="hybridMultilevel"/>
    <w:tmpl w:val="263888E8"/>
    <w:lvl w:ilvl="0" w:tplc="21EA942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C7C06B4"/>
    <w:multiLevelType w:val="hybridMultilevel"/>
    <w:tmpl w:val="A2CAB428"/>
    <w:lvl w:ilvl="0" w:tplc="967E03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61806"/>
    <w:multiLevelType w:val="hybridMultilevel"/>
    <w:tmpl w:val="75CC9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C120A"/>
    <w:multiLevelType w:val="hybridMultilevel"/>
    <w:tmpl w:val="F6082404"/>
    <w:lvl w:ilvl="0" w:tplc="AEB4A614">
      <w:start w:val="1"/>
      <w:numFmt w:val="decimal"/>
      <w:pStyle w:val="Nagwek"/>
      <w:lvlText w:val="%1."/>
      <w:lvlJc w:val="left"/>
      <w:pPr>
        <w:ind w:left="360" w:hanging="360"/>
      </w:pPr>
      <w:rPr>
        <w:rFonts w:asciiTheme="minorHAnsi" w:hAnsi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4D5AF9"/>
    <w:multiLevelType w:val="hybridMultilevel"/>
    <w:tmpl w:val="64F80840"/>
    <w:lvl w:ilvl="0" w:tplc="BD1A32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0576CE1"/>
    <w:multiLevelType w:val="hybridMultilevel"/>
    <w:tmpl w:val="D0640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837CF1"/>
    <w:multiLevelType w:val="hybridMultilevel"/>
    <w:tmpl w:val="064AC712"/>
    <w:lvl w:ilvl="0" w:tplc="0415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14F1681"/>
    <w:multiLevelType w:val="hybridMultilevel"/>
    <w:tmpl w:val="FF806BA6"/>
    <w:lvl w:ilvl="0" w:tplc="3EA2564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B11CF2"/>
    <w:multiLevelType w:val="hybridMultilevel"/>
    <w:tmpl w:val="E9249D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270E49"/>
    <w:multiLevelType w:val="hybridMultilevel"/>
    <w:tmpl w:val="44BE8A3A"/>
    <w:lvl w:ilvl="0" w:tplc="3EA2564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2317B0"/>
    <w:multiLevelType w:val="hybridMultilevel"/>
    <w:tmpl w:val="BDEC7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396481"/>
    <w:multiLevelType w:val="hybridMultilevel"/>
    <w:tmpl w:val="4B56A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AD2828"/>
    <w:multiLevelType w:val="hybridMultilevel"/>
    <w:tmpl w:val="85DC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EF51E9"/>
    <w:multiLevelType w:val="hybridMultilevel"/>
    <w:tmpl w:val="2D5EC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FB4503"/>
    <w:multiLevelType w:val="hybridMultilevel"/>
    <w:tmpl w:val="B2B08CD8"/>
    <w:lvl w:ilvl="0" w:tplc="BD1A32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62202B9"/>
    <w:multiLevelType w:val="hybridMultilevel"/>
    <w:tmpl w:val="53E26360"/>
    <w:lvl w:ilvl="0" w:tplc="3EA2564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313B2E"/>
    <w:multiLevelType w:val="hybridMultilevel"/>
    <w:tmpl w:val="6FD00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6561D0"/>
    <w:multiLevelType w:val="hybridMultilevel"/>
    <w:tmpl w:val="856E5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C17CE3"/>
    <w:multiLevelType w:val="hybridMultilevel"/>
    <w:tmpl w:val="BAD05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524099"/>
    <w:multiLevelType w:val="hybridMultilevel"/>
    <w:tmpl w:val="1EB8ED86"/>
    <w:lvl w:ilvl="0" w:tplc="DA629BD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C31B15"/>
    <w:multiLevelType w:val="hybridMultilevel"/>
    <w:tmpl w:val="9322EFF4"/>
    <w:lvl w:ilvl="0" w:tplc="0415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7D015243"/>
    <w:multiLevelType w:val="hybridMultilevel"/>
    <w:tmpl w:val="AD4E1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0505D1"/>
    <w:multiLevelType w:val="hybridMultilevel"/>
    <w:tmpl w:val="46B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12"/>
  </w:num>
  <w:num w:numId="4">
    <w:abstractNumId w:val="16"/>
  </w:num>
  <w:num w:numId="5">
    <w:abstractNumId w:val="47"/>
  </w:num>
  <w:num w:numId="6">
    <w:abstractNumId w:val="4"/>
  </w:num>
  <w:num w:numId="7">
    <w:abstractNumId w:val="51"/>
  </w:num>
  <w:num w:numId="8">
    <w:abstractNumId w:val="34"/>
  </w:num>
  <w:num w:numId="9">
    <w:abstractNumId w:val="13"/>
  </w:num>
  <w:num w:numId="10">
    <w:abstractNumId w:val="7"/>
  </w:num>
  <w:num w:numId="11">
    <w:abstractNumId w:val="39"/>
  </w:num>
  <w:num w:numId="12">
    <w:abstractNumId w:val="37"/>
  </w:num>
  <w:num w:numId="13">
    <w:abstractNumId w:val="43"/>
  </w:num>
  <w:num w:numId="14">
    <w:abstractNumId w:val="20"/>
  </w:num>
  <w:num w:numId="15">
    <w:abstractNumId w:val="24"/>
  </w:num>
  <w:num w:numId="16">
    <w:abstractNumId w:val="3"/>
  </w:num>
  <w:num w:numId="17">
    <w:abstractNumId w:val="50"/>
  </w:num>
  <w:num w:numId="18">
    <w:abstractNumId w:val="45"/>
  </w:num>
  <w:num w:numId="19">
    <w:abstractNumId w:val="17"/>
  </w:num>
  <w:num w:numId="20">
    <w:abstractNumId w:val="21"/>
  </w:num>
  <w:num w:numId="21">
    <w:abstractNumId w:val="19"/>
  </w:num>
  <w:num w:numId="22">
    <w:abstractNumId w:val="6"/>
  </w:num>
  <w:num w:numId="23">
    <w:abstractNumId w:val="9"/>
  </w:num>
  <w:num w:numId="24">
    <w:abstractNumId w:val="29"/>
  </w:num>
  <w:num w:numId="25">
    <w:abstractNumId w:val="10"/>
  </w:num>
  <w:num w:numId="26">
    <w:abstractNumId w:val="46"/>
  </w:num>
  <w:num w:numId="27">
    <w:abstractNumId w:val="48"/>
  </w:num>
  <w:num w:numId="28">
    <w:abstractNumId w:val="42"/>
  </w:num>
  <w:num w:numId="29">
    <w:abstractNumId w:val="25"/>
  </w:num>
  <w:num w:numId="30">
    <w:abstractNumId w:val="11"/>
  </w:num>
  <w:num w:numId="31">
    <w:abstractNumId w:val="41"/>
  </w:num>
  <w:num w:numId="32">
    <w:abstractNumId w:val="2"/>
  </w:num>
  <w:num w:numId="33">
    <w:abstractNumId w:val="38"/>
  </w:num>
  <w:num w:numId="34">
    <w:abstractNumId w:val="36"/>
  </w:num>
  <w:num w:numId="35">
    <w:abstractNumId w:val="44"/>
  </w:num>
  <w:num w:numId="36">
    <w:abstractNumId w:val="18"/>
  </w:num>
  <w:num w:numId="37">
    <w:abstractNumId w:val="35"/>
  </w:num>
  <w:num w:numId="38">
    <w:abstractNumId w:val="0"/>
  </w:num>
  <w:num w:numId="39">
    <w:abstractNumId w:val="5"/>
  </w:num>
  <w:num w:numId="40">
    <w:abstractNumId w:val="31"/>
  </w:num>
  <w:num w:numId="41">
    <w:abstractNumId w:val="33"/>
  </w:num>
  <w:num w:numId="42">
    <w:abstractNumId w:val="15"/>
  </w:num>
  <w:num w:numId="43">
    <w:abstractNumId w:val="49"/>
  </w:num>
  <w:num w:numId="44">
    <w:abstractNumId w:val="28"/>
  </w:num>
  <w:num w:numId="45">
    <w:abstractNumId w:val="30"/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</w:num>
  <w:num w:numId="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51">
    <w:abstractNumId w:val="32"/>
  </w:num>
  <w:num w:numId="52">
    <w:abstractNumId w:val="23"/>
  </w:num>
  <w:num w:numId="53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10"/>
    <w:rsid w:val="00000809"/>
    <w:rsid w:val="00000FF8"/>
    <w:rsid w:val="00003425"/>
    <w:rsid w:val="00003AA6"/>
    <w:rsid w:val="00004A58"/>
    <w:rsid w:val="000054D7"/>
    <w:rsid w:val="00006162"/>
    <w:rsid w:val="000065F6"/>
    <w:rsid w:val="0000680D"/>
    <w:rsid w:val="0001072A"/>
    <w:rsid w:val="00010C37"/>
    <w:rsid w:val="00011471"/>
    <w:rsid w:val="00012DAE"/>
    <w:rsid w:val="00013E9D"/>
    <w:rsid w:val="0001680A"/>
    <w:rsid w:val="00021012"/>
    <w:rsid w:val="0002434C"/>
    <w:rsid w:val="00024775"/>
    <w:rsid w:val="00024A48"/>
    <w:rsid w:val="00024E02"/>
    <w:rsid w:val="00025704"/>
    <w:rsid w:val="000275A3"/>
    <w:rsid w:val="00031764"/>
    <w:rsid w:val="00033A34"/>
    <w:rsid w:val="00036204"/>
    <w:rsid w:val="00040D88"/>
    <w:rsid w:val="00044C73"/>
    <w:rsid w:val="000451D4"/>
    <w:rsid w:val="00045776"/>
    <w:rsid w:val="00046CE6"/>
    <w:rsid w:val="000508D1"/>
    <w:rsid w:val="00053280"/>
    <w:rsid w:val="00054685"/>
    <w:rsid w:val="00055803"/>
    <w:rsid w:val="0006385C"/>
    <w:rsid w:val="0007082F"/>
    <w:rsid w:val="00072BCC"/>
    <w:rsid w:val="000751FC"/>
    <w:rsid w:val="00075777"/>
    <w:rsid w:val="00076A44"/>
    <w:rsid w:val="000770DA"/>
    <w:rsid w:val="0007754E"/>
    <w:rsid w:val="00080640"/>
    <w:rsid w:val="00080F7D"/>
    <w:rsid w:val="00081D67"/>
    <w:rsid w:val="0008522B"/>
    <w:rsid w:val="00085A31"/>
    <w:rsid w:val="00086E00"/>
    <w:rsid w:val="00087266"/>
    <w:rsid w:val="00087F58"/>
    <w:rsid w:val="00090265"/>
    <w:rsid w:val="000905DB"/>
    <w:rsid w:val="00094CFF"/>
    <w:rsid w:val="00096BAC"/>
    <w:rsid w:val="0009726F"/>
    <w:rsid w:val="000A1FE0"/>
    <w:rsid w:val="000A3096"/>
    <w:rsid w:val="000A3263"/>
    <w:rsid w:val="000A5433"/>
    <w:rsid w:val="000A591B"/>
    <w:rsid w:val="000A7A71"/>
    <w:rsid w:val="000B0E2C"/>
    <w:rsid w:val="000B23AD"/>
    <w:rsid w:val="000B2CC9"/>
    <w:rsid w:val="000B3EFE"/>
    <w:rsid w:val="000B52AF"/>
    <w:rsid w:val="000B63CE"/>
    <w:rsid w:val="000B6564"/>
    <w:rsid w:val="000B6B0B"/>
    <w:rsid w:val="000B744D"/>
    <w:rsid w:val="000C034B"/>
    <w:rsid w:val="000C06B6"/>
    <w:rsid w:val="000C0D63"/>
    <w:rsid w:val="000C10B9"/>
    <w:rsid w:val="000C350A"/>
    <w:rsid w:val="000C3B00"/>
    <w:rsid w:val="000C5077"/>
    <w:rsid w:val="000C6DA8"/>
    <w:rsid w:val="000C7431"/>
    <w:rsid w:val="000D317A"/>
    <w:rsid w:val="000D422A"/>
    <w:rsid w:val="000D68B1"/>
    <w:rsid w:val="000D6EA7"/>
    <w:rsid w:val="000E0FA0"/>
    <w:rsid w:val="000E2DF4"/>
    <w:rsid w:val="000E38DD"/>
    <w:rsid w:val="000E3FC4"/>
    <w:rsid w:val="000E66BC"/>
    <w:rsid w:val="000F4228"/>
    <w:rsid w:val="000F4D8A"/>
    <w:rsid w:val="000F6B1B"/>
    <w:rsid w:val="0010105B"/>
    <w:rsid w:val="00101979"/>
    <w:rsid w:val="001027CD"/>
    <w:rsid w:val="00104355"/>
    <w:rsid w:val="00104BBC"/>
    <w:rsid w:val="00104E08"/>
    <w:rsid w:val="0010697F"/>
    <w:rsid w:val="00110FEE"/>
    <w:rsid w:val="00111425"/>
    <w:rsid w:val="00114F28"/>
    <w:rsid w:val="00115080"/>
    <w:rsid w:val="00121745"/>
    <w:rsid w:val="0012299A"/>
    <w:rsid w:val="00127D3D"/>
    <w:rsid w:val="00130088"/>
    <w:rsid w:val="001302EB"/>
    <w:rsid w:val="00130DF3"/>
    <w:rsid w:val="00134EDE"/>
    <w:rsid w:val="0014201B"/>
    <w:rsid w:val="0014294E"/>
    <w:rsid w:val="00142CCB"/>
    <w:rsid w:val="00142F6A"/>
    <w:rsid w:val="00143056"/>
    <w:rsid w:val="00143630"/>
    <w:rsid w:val="00143EBC"/>
    <w:rsid w:val="001440C6"/>
    <w:rsid w:val="00144A61"/>
    <w:rsid w:val="00145DD9"/>
    <w:rsid w:val="00146A81"/>
    <w:rsid w:val="00147125"/>
    <w:rsid w:val="00154093"/>
    <w:rsid w:val="0015436F"/>
    <w:rsid w:val="00155180"/>
    <w:rsid w:val="00155B4F"/>
    <w:rsid w:val="00155F05"/>
    <w:rsid w:val="00162296"/>
    <w:rsid w:val="001623FD"/>
    <w:rsid w:val="001705FD"/>
    <w:rsid w:val="001707BD"/>
    <w:rsid w:val="00170E50"/>
    <w:rsid w:val="0017402B"/>
    <w:rsid w:val="00175274"/>
    <w:rsid w:val="00180F9B"/>
    <w:rsid w:val="001820A0"/>
    <w:rsid w:val="00182E55"/>
    <w:rsid w:val="00191CE4"/>
    <w:rsid w:val="00192D89"/>
    <w:rsid w:val="00192F76"/>
    <w:rsid w:val="001939BC"/>
    <w:rsid w:val="00197B42"/>
    <w:rsid w:val="001A1214"/>
    <w:rsid w:val="001A1F5D"/>
    <w:rsid w:val="001A55FB"/>
    <w:rsid w:val="001A6E3E"/>
    <w:rsid w:val="001B06A7"/>
    <w:rsid w:val="001B2FA4"/>
    <w:rsid w:val="001B38BF"/>
    <w:rsid w:val="001B5BDE"/>
    <w:rsid w:val="001C0226"/>
    <w:rsid w:val="001C3712"/>
    <w:rsid w:val="001C5258"/>
    <w:rsid w:val="001D095C"/>
    <w:rsid w:val="001D1CEC"/>
    <w:rsid w:val="001D3AAB"/>
    <w:rsid w:val="001D60E0"/>
    <w:rsid w:val="001D78FB"/>
    <w:rsid w:val="001D7ABB"/>
    <w:rsid w:val="001E006F"/>
    <w:rsid w:val="001E3502"/>
    <w:rsid w:val="001E6093"/>
    <w:rsid w:val="001E78EF"/>
    <w:rsid w:val="001E7EF3"/>
    <w:rsid w:val="001F176C"/>
    <w:rsid w:val="001F1916"/>
    <w:rsid w:val="001F3E03"/>
    <w:rsid w:val="001F61A1"/>
    <w:rsid w:val="001F64AF"/>
    <w:rsid w:val="001F790C"/>
    <w:rsid w:val="0020282F"/>
    <w:rsid w:val="0020651E"/>
    <w:rsid w:val="002077D1"/>
    <w:rsid w:val="002103F1"/>
    <w:rsid w:val="00211918"/>
    <w:rsid w:val="00215D47"/>
    <w:rsid w:val="00216B21"/>
    <w:rsid w:val="00220CA4"/>
    <w:rsid w:val="00221583"/>
    <w:rsid w:val="00231BCE"/>
    <w:rsid w:val="00233118"/>
    <w:rsid w:val="00236C44"/>
    <w:rsid w:val="002376DD"/>
    <w:rsid w:val="002402AD"/>
    <w:rsid w:val="002418DC"/>
    <w:rsid w:val="00241C48"/>
    <w:rsid w:val="00243C67"/>
    <w:rsid w:val="00245B30"/>
    <w:rsid w:val="002466DC"/>
    <w:rsid w:val="00246F95"/>
    <w:rsid w:val="002522ED"/>
    <w:rsid w:val="002529B2"/>
    <w:rsid w:val="00252E6C"/>
    <w:rsid w:val="00253348"/>
    <w:rsid w:val="00261200"/>
    <w:rsid w:val="002623D4"/>
    <w:rsid w:val="00264AEA"/>
    <w:rsid w:val="00266F48"/>
    <w:rsid w:val="002672C7"/>
    <w:rsid w:val="00270E3A"/>
    <w:rsid w:val="00273E03"/>
    <w:rsid w:val="002744EE"/>
    <w:rsid w:val="00276C2C"/>
    <w:rsid w:val="00281423"/>
    <w:rsid w:val="00281615"/>
    <w:rsid w:val="00285D7B"/>
    <w:rsid w:val="00287067"/>
    <w:rsid w:val="002931B6"/>
    <w:rsid w:val="00293812"/>
    <w:rsid w:val="002944B8"/>
    <w:rsid w:val="00295648"/>
    <w:rsid w:val="002968F6"/>
    <w:rsid w:val="00297358"/>
    <w:rsid w:val="002A020F"/>
    <w:rsid w:val="002A0DE6"/>
    <w:rsid w:val="002A2E17"/>
    <w:rsid w:val="002A534D"/>
    <w:rsid w:val="002A5BDE"/>
    <w:rsid w:val="002A5D43"/>
    <w:rsid w:val="002A679A"/>
    <w:rsid w:val="002A71B6"/>
    <w:rsid w:val="002A7849"/>
    <w:rsid w:val="002B0059"/>
    <w:rsid w:val="002B0132"/>
    <w:rsid w:val="002B195C"/>
    <w:rsid w:val="002B5BC1"/>
    <w:rsid w:val="002C047D"/>
    <w:rsid w:val="002C1C2E"/>
    <w:rsid w:val="002C405C"/>
    <w:rsid w:val="002C6014"/>
    <w:rsid w:val="002C6639"/>
    <w:rsid w:val="002C68BD"/>
    <w:rsid w:val="002C6CAE"/>
    <w:rsid w:val="002D0048"/>
    <w:rsid w:val="002D0D2B"/>
    <w:rsid w:val="002D30B0"/>
    <w:rsid w:val="002D3556"/>
    <w:rsid w:val="002D5FFB"/>
    <w:rsid w:val="002D7060"/>
    <w:rsid w:val="002D7A3E"/>
    <w:rsid w:val="002E1B50"/>
    <w:rsid w:val="002E525B"/>
    <w:rsid w:val="002E5B8D"/>
    <w:rsid w:val="002F0305"/>
    <w:rsid w:val="002F15E9"/>
    <w:rsid w:val="002F28EF"/>
    <w:rsid w:val="002F342C"/>
    <w:rsid w:val="00301C8F"/>
    <w:rsid w:val="003035C9"/>
    <w:rsid w:val="00303CD5"/>
    <w:rsid w:val="00304B05"/>
    <w:rsid w:val="00305908"/>
    <w:rsid w:val="00311C53"/>
    <w:rsid w:val="00311DEB"/>
    <w:rsid w:val="00312575"/>
    <w:rsid w:val="00316100"/>
    <w:rsid w:val="003171D3"/>
    <w:rsid w:val="003177EA"/>
    <w:rsid w:val="0032075B"/>
    <w:rsid w:val="00321872"/>
    <w:rsid w:val="00322060"/>
    <w:rsid w:val="00322C98"/>
    <w:rsid w:val="00323355"/>
    <w:rsid w:val="00323F57"/>
    <w:rsid w:val="00324F09"/>
    <w:rsid w:val="00325A93"/>
    <w:rsid w:val="0032679F"/>
    <w:rsid w:val="0032690C"/>
    <w:rsid w:val="00327365"/>
    <w:rsid w:val="0033011F"/>
    <w:rsid w:val="00342409"/>
    <w:rsid w:val="00344658"/>
    <w:rsid w:val="003456AA"/>
    <w:rsid w:val="0034604D"/>
    <w:rsid w:val="0034783C"/>
    <w:rsid w:val="00350FA6"/>
    <w:rsid w:val="00351AD3"/>
    <w:rsid w:val="00352A1A"/>
    <w:rsid w:val="00353CDE"/>
    <w:rsid w:val="00353F97"/>
    <w:rsid w:val="00354CB1"/>
    <w:rsid w:val="00356345"/>
    <w:rsid w:val="003631B2"/>
    <w:rsid w:val="00366753"/>
    <w:rsid w:val="00366DFB"/>
    <w:rsid w:val="00367853"/>
    <w:rsid w:val="00370DBC"/>
    <w:rsid w:val="00371D4A"/>
    <w:rsid w:val="003760CE"/>
    <w:rsid w:val="00381B7B"/>
    <w:rsid w:val="0038461B"/>
    <w:rsid w:val="00385FA3"/>
    <w:rsid w:val="003873D8"/>
    <w:rsid w:val="0039162C"/>
    <w:rsid w:val="00392FCA"/>
    <w:rsid w:val="00394BBD"/>
    <w:rsid w:val="003A0957"/>
    <w:rsid w:val="003A6DEA"/>
    <w:rsid w:val="003B0847"/>
    <w:rsid w:val="003B116E"/>
    <w:rsid w:val="003B1435"/>
    <w:rsid w:val="003B45E4"/>
    <w:rsid w:val="003B4BBC"/>
    <w:rsid w:val="003B5F79"/>
    <w:rsid w:val="003C16EF"/>
    <w:rsid w:val="003C4FDC"/>
    <w:rsid w:val="003C63F4"/>
    <w:rsid w:val="003C7048"/>
    <w:rsid w:val="003C7A1C"/>
    <w:rsid w:val="003D06E2"/>
    <w:rsid w:val="003D2FE8"/>
    <w:rsid w:val="003D59B1"/>
    <w:rsid w:val="003D5A0C"/>
    <w:rsid w:val="003D7DAC"/>
    <w:rsid w:val="003E00E8"/>
    <w:rsid w:val="003F16E1"/>
    <w:rsid w:val="003F2D53"/>
    <w:rsid w:val="003F47D1"/>
    <w:rsid w:val="003F6486"/>
    <w:rsid w:val="00400AAF"/>
    <w:rsid w:val="00401075"/>
    <w:rsid w:val="0040122D"/>
    <w:rsid w:val="00405A4F"/>
    <w:rsid w:val="00406101"/>
    <w:rsid w:val="00407C99"/>
    <w:rsid w:val="004102B8"/>
    <w:rsid w:val="00410329"/>
    <w:rsid w:val="004103DF"/>
    <w:rsid w:val="004105DF"/>
    <w:rsid w:val="004120F1"/>
    <w:rsid w:val="00412380"/>
    <w:rsid w:val="00416EC6"/>
    <w:rsid w:val="004203DD"/>
    <w:rsid w:val="00427DE4"/>
    <w:rsid w:val="004301D8"/>
    <w:rsid w:val="00430EAD"/>
    <w:rsid w:val="00431461"/>
    <w:rsid w:val="0043214A"/>
    <w:rsid w:val="004349D8"/>
    <w:rsid w:val="00436757"/>
    <w:rsid w:val="00437810"/>
    <w:rsid w:val="00441903"/>
    <w:rsid w:val="00443935"/>
    <w:rsid w:val="00444418"/>
    <w:rsid w:val="004470FB"/>
    <w:rsid w:val="00454593"/>
    <w:rsid w:val="00456D34"/>
    <w:rsid w:val="00456FA9"/>
    <w:rsid w:val="00461FA9"/>
    <w:rsid w:val="00462796"/>
    <w:rsid w:val="0046483C"/>
    <w:rsid w:val="00465A9F"/>
    <w:rsid w:val="00465E3C"/>
    <w:rsid w:val="00467DB5"/>
    <w:rsid w:val="00471234"/>
    <w:rsid w:val="00473AB3"/>
    <w:rsid w:val="004749D7"/>
    <w:rsid w:val="00475A2A"/>
    <w:rsid w:val="00485599"/>
    <w:rsid w:val="0048569D"/>
    <w:rsid w:val="00486753"/>
    <w:rsid w:val="00487126"/>
    <w:rsid w:val="00487C9B"/>
    <w:rsid w:val="00492900"/>
    <w:rsid w:val="00492A0F"/>
    <w:rsid w:val="004964C3"/>
    <w:rsid w:val="00497086"/>
    <w:rsid w:val="00497DCA"/>
    <w:rsid w:val="004A336E"/>
    <w:rsid w:val="004A45BD"/>
    <w:rsid w:val="004A4605"/>
    <w:rsid w:val="004A4730"/>
    <w:rsid w:val="004A5455"/>
    <w:rsid w:val="004A6C46"/>
    <w:rsid w:val="004B0BAA"/>
    <w:rsid w:val="004B0F16"/>
    <w:rsid w:val="004B22DD"/>
    <w:rsid w:val="004B2B86"/>
    <w:rsid w:val="004B51AB"/>
    <w:rsid w:val="004B554A"/>
    <w:rsid w:val="004B6FD5"/>
    <w:rsid w:val="004B794C"/>
    <w:rsid w:val="004C0604"/>
    <w:rsid w:val="004C23D6"/>
    <w:rsid w:val="004C2A37"/>
    <w:rsid w:val="004C3486"/>
    <w:rsid w:val="004C3694"/>
    <w:rsid w:val="004C52C2"/>
    <w:rsid w:val="004D0774"/>
    <w:rsid w:val="004D1074"/>
    <w:rsid w:val="004D2A7B"/>
    <w:rsid w:val="004D3967"/>
    <w:rsid w:val="004D489B"/>
    <w:rsid w:val="004E082F"/>
    <w:rsid w:val="004E27B5"/>
    <w:rsid w:val="004E32CD"/>
    <w:rsid w:val="004E3BC2"/>
    <w:rsid w:val="004E4710"/>
    <w:rsid w:val="004E5F93"/>
    <w:rsid w:val="004F05B8"/>
    <w:rsid w:val="004F41E8"/>
    <w:rsid w:val="004F6C19"/>
    <w:rsid w:val="004F77FB"/>
    <w:rsid w:val="005002BA"/>
    <w:rsid w:val="005007EF"/>
    <w:rsid w:val="0050437A"/>
    <w:rsid w:val="005050BF"/>
    <w:rsid w:val="00505DE4"/>
    <w:rsid w:val="00506F31"/>
    <w:rsid w:val="0050759C"/>
    <w:rsid w:val="00513A35"/>
    <w:rsid w:val="00514928"/>
    <w:rsid w:val="00514E94"/>
    <w:rsid w:val="00516334"/>
    <w:rsid w:val="00520D62"/>
    <w:rsid w:val="005219BE"/>
    <w:rsid w:val="005258E1"/>
    <w:rsid w:val="0052645A"/>
    <w:rsid w:val="00536983"/>
    <w:rsid w:val="005407F5"/>
    <w:rsid w:val="00542CC9"/>
    <w:rsid w:val="00543246"/>
    <w:rsid w:val="0054470A"/>
    <w:rsid w:val="00544AA2"/>
    <w:rsid w:val="00545F45"/>
    <w:rsid w:val="00546866"/>
    <w:rsid w:val="005474B4"/>
    <w:rsid w:val="005522D0"/>
    <w:rsid w:val="00553CE3"/>
    <w:rsid w:val="0055456B"/>
    <w:rsid w:val="00554FCF"/>
    <w:rsid w:val="005574DE"/>
    <w:rsid w:val="005577CB"/>
    <w:rsid w:val="0056011F"/>
    <w:rsid w:val="00563371"/>
    <w:rsid w:val="005667A6"/>
    <w:rsid w:val="005675CA"/>
    <w:rsid w:val="00567CCD"/>
    <w:rsid w:val="005709B4"/>
    <w:rsid w:val="00570B36"/>
    <w:rsid w:val="0057371A"/>
    <w:rsid w:val="00573E2F"/>
    <w:rsid w:val="00574424"/>
    <w:rsid w:val="005764EB"/>
    <w:rsid w:val="005767B7"/>
    <w:rsid w:val="00576BA4"/>
    <w:rsid w:val="00580868"/>
    <w:rsid w:val="00581411"/>
    <w:rsid w:val="00582E7B"/>
    <w:rsid w:val="00583ABA"/>
    <w:rsid w:val="00583CFC"/>
    <w:rsid w:val="00583DE1"/>
    <w:rsid w:val="005844A9"/>
    <w:rsid w:val="0058542C"/>
    <w:rsid w:val="005869E7"/>
    <w:rsid w:val="005871F3"/>
    <w:rsid w:val="00587689"/>
    <w:rsid w:val="005905AC"/>
    <w:rsid w:val="005922D0"/>
    <w:rsid w:val="0059440B"/>
    <w:rsid w:val="005959FF"/>
    <w:rsid w:val="00596539"/>
    <w:rsid w:val="005A22FF"/>
    <w:rsid w:val="005A3577"/>
    <w:rsid w:val="005A457B"/>
    <w:rsid w:val="005A4784"/>
    <w:rsid w:val="005A4E46"/>
    <w:rsid w:val="005A5540"/>
    <w:rsid w:val="005A5D94"/>
    <w:rsid w:val="005B0807"/>
    <w:rsid w:val="005B0F5E"/>
    <w:rsid w:val="005B0F92"/>
    <w:rsid w:val="005B330E"/>
    <w:rsid w:val="005B3473"/>
    <w:rsid w:val="005B3531"/>
    <w:rsid w:val="005B4A80"/>
    <w:rsid w:val="005B59AB"/>
    <w:rsid w:val="005B769D"/>
    <w:rsid w:val="005B7BE9"/>
    <w:rsid w:val="005C1FA2"/>
    <w:rsid w:val="005D0B6D"/>
    <w:rsid w:val="005D125D"/>
    <w:rsid w:val="005D1BDB"/>
    <w:rsid w:val="005D2EF3"/>
    <w:rsid w:val="005D3752"/>
    <w:rsid w:val="005D3850"/>
    <w:rsid w:val="005D6A38"/>
    <w:rsid w:val="005D7AB9"/>
    <w:rsid w:val="005D7B22"/>
    <w:rsid w:val="005D7CAC"/>
    <w:rsid w:val="005E066C"/>
    <w:rsid w:val="005E1253"/>
    <w:rsid w:val="005E3224"/>
    <w:rsid w:val="005E53CE"/>
    <w:rsid w:val="005E5956"/>
    <w:rsid w:val="005E6481"/>
    <w:rsid w:val="005F19A6"/>
    <w:rsid w:val="005F4656"/>
    <w:rsid w:val="005F4A5D"/>
    <w:rsid w:val="005F4BE7"/>
    <w:rsid w:val="005F5F94"/>
    <w:rsid w:val="005F6272"/>
    <w:rsid w:val="006004BE"/>
    <w:rsid w:val="00601420"/>
    <w:rsid w:val="00607DED"/>
    <w:rsid w:val="00610C05"/>
    <w:rsid w:val="0061304A"/>
    <w:rsid w:val="006137AF"/>
    <w:rsid w:val="00620F19"/>
    <w:rsid w:val="006252FE"/>
    <w:rsid w:val="00627E7A"/>
    <w:rsid w:val="00630AAB"/>
    <w:rsid w:val="00630E94"/>
    <w:rsid w:val="00632857"/>
    <w:rsid w:val="00633A7D"/>
    <w:rsid w:val="00635303"/>
    <w:rsid w:val="006376FB"/>
    <w:rsid w:val="00640252"/>
    <w:rsid w:val="00641693"/>
    <w:rsid w:val="006420D3"/>
    <w:rsid w:val="006438D9"/>
    <w:rsid w:val="00646840"/>
    <w:rsid w:val="00647B4B"/>
    <w:rsid w:val="00651E4D"/>
    <w:rsid w:val="0065258A"/>
    <w:rsid w:val="006561D4"/>
    <w:rsid w:val="00657E0E"/>
    <w:rsid w:val="006607D0"/>
    <w:rsid w:val="006634CA"/>
    <w:rsid w:val="00664933"/>
    <w:rsid w:val="00664F74"/>
    <w:rsid w:val="00671566"/>
    <w:rsid w:val="00675496"/>
    <w:rsid w:val="00675603"/>
    <w:rsid w:val="00675F60"/>
    <w:rsid w:val="00676548"/>
    <w:rsid w:val="006771C5"/>
    <w:rsid w:val="006773DA"/>
    <w:rsid w:val="0068019A"/>
    <w:rsid w:val="0068269B"/>
    <w:rsid w:val="00685557"/>
    <w:rsid w:val="00686844"/>
    <w:rsid w:val="00686B7B"/>
    <w:rsid w:val="00693C5F"/>
    <w:rsid w:val="00694078"/>
    <w:rsid w:val="0069525C"/>
    <w:rsid w:val="0069617D"/>
    <w:rsid w:val="00696786"/>
    <w:rsid w:val="006973FA"/>
    <w:rsid w:val="00697FC3"/>
    <w:rsid w:val="006A3994"/>
    <w:rsid w:val="006A4DFA"/>
    <w:rsid w:val="006A68AE"/>
    <w:rsid w:val="006A78F9"/>
    <w:rsid w:val="006B18F8"/>
    <w:rsid w:val="006B2551"/>
    <w:rsid w:val="006B5AD6"/>
    <w:rsid w:val="006C1380"/>
    <w:rsid w:val="006C371D"/>
    <w:rsid w:val="006D21AF"/>
    <w:rsid w:val="006D22DD"/>
    <w:rsid w:val="006D4467"/>
    <w:rsid w:val="006E2647"/>
    <w:rsid w:val="006E4507"/>
    <w:rsid w:val="006E489C"/>
    <w:rsid w:val="006E4FF2"/>
    <w:rsid w:val="006E5B79"/>
    <w:rsid w:val="006E720C"/>
    <w:rsid w:val="006F07A7"/>
    <w:rsid w:val="006F1D57"/>
    <w:rsid w:val="006F2A91"/>
    <w:rsid w:val="006F4866"/>
    <w:rsid w:val="006F7449"/>
    <w:rsid w:val="006F78F7"/>
    <w:rsid w:val="006F7E7C"/>
    <w:rsid w:val="00700E51"/>
    <w:rsid w:val="00701A58"/>
    <w:rsid w:val="00703985"/>
    <w:rsid w:val="007050FE"/>
    <w:rsid w:val="0070541D"/>
    <w:rsid w:val="007055D1"/>
    <w:rsid w:val="0070661C"/>
    <w:rsid w:val="00710149"/>
    <w:rsid w:val="0071035C"/>
    <w:rsid w:val="0071307E"/>
    <w:rsid w:val="007146CB"/>
    <w:rsid w:val="0071556E"/>
    <w:rsid w:val="007164B4"/>
    <w:rsid w:val="00720A53"/>
    <w:rsid w:val="007212C8"/>
    <w:rsid w:val="00722EE2"/>
    <w:rsid w:val="0072324E"/>
    <w:rsid w:val="007251A2"/>
    <w:rsid w:val="007252ED"/>
    <w:rsid w:val="00726860"/>
    <w:rsid w:val="00731FFC"/>
    <w:rsid w:val="00732061"/>
    <w:rsid w:val="00732798"/>
    <w:rsid w:val="00732C76"/>
    <w:rsid w:val="007341AD"/>
    <w:rsid w:val="0073583A"/>
    <w:rsid w:val="0074123A"/>
    <w:rsid w:val="007412A6"/>
    <w:rsid w:val="00743667"/>
    <w:rsid w:val="00744601"/>
    <w:rsid w:val="00744FB1"/>
    <w:rsid w:val="00751E12"/>
    <w:rsid w:val="00752FA2"/>
    <w:rsid w:val="00753ABA"/>
    <w:rsid w:val="00753B14"/>
    <w:rsid w:val="00754927"/>
    <w:rsid w:val="007563A8"/>
    <w:rsid w:val="00756C94"/>
    <w:rsid w:val="00756CD3"/>
    <w:rsid w:val="00761B56"/>
    <w:rsid w:val="007649E5"/>
    <w:rsid w:val="00767310"/>
    <w:rsid w:val="007705A4"/>
    <w:rsid w:val="007717B5"/>
    <w:rsid w:val="00773583"/>
    <w:rsid w:val="00774B63"/>
    <w:rsid w:val="00777129"/>
    <w:rsid w:val="00781555"/>
    <w:rsid w:val="00781C94"/>
    <w:rsid w:val="00787945"/>
    <w:rsid w:val="00787A41"/>
    <w:rsid w:val="00787DFD"/>
    <w:rsid w:val="007900BA"/>
    <w:rsid w:val="00790241"/>
    <w:rsid w:val="0079447D"/>
    <w:rsid w:val="007958B7"/>
    <w:rsid w:val="007A0E7B"/>
    <w:rsid w:val="007A2159"/>
    <w:rsid w:val="007A56E1"/>
    <w:rsid w:val="007B1952"/>
    <w:rsid w:val="007B2145"/>
    <w:rsid w:val="007B3134"/>
    <w:rsid w:val="007B4A38"/>
    <w:rsid w:val="007B55C0"/>
    <w:rsid w:val="007B56F6"/>
    <w:rsid w:val="007C12E6"/>
    <w:rsid w:val="007C2242"/>
    <w:rsid w:val="007C301B"/>
    <w:rsid w:val="007C3663"/>
    <w:rsid w:val="007C3C93"/>
    <w:rsid w:val="007C4C14"/>
    <w:rsid w:val="007C5549"/>
    <w:rsid w:val="007C6031"/>
    <w:rsid w:val="007C60FE"/>
    <w:rsid w:val="007C6969"/>
    <w:rsid w:val="007D0011"/>
    <w:rsid w:val="007D29F0"/>
    <w:rsid w:val="007D29FC"/>
    <w:rsid w:val="007D30A3"/>
    <w:rsid w:val="007D4ED7"/>
    <w:rsid w:val="007D661E"/>
    <w:rsid w:val="007E0E52"/>
    <w:rsid w:val="007E2858"/>
    <w:rsid w:val="007E2F9D"/>
    <w:rsid w:val="007E4BA5"/>
    <w:rsid w:val="007E63D1"/>
    <w:rsid w:val="007F13C6"/>
    <w:rsid w:val="007F3187"/>
    <w:rsid w:val="007F5567"/>
    <w:rsid w:val="007F6567"/>
    <w:rsid w:val="007F72C9"/>
    <w:rsid w:val="00802753"/>
    <w:rsid w:val="00802B53"/>
    <w:rsid w:val="0080545C"/>
    <w:rsid w:val="008075F0"/>
    <w:rsid w:val="0081071A"/>
    <w:rsid w:val="00810E8A"/>
    <w:rsid w:val="00811908"/>
    <w:rsid w:val="00811C9F"/>
    <w:rsid w:val="00811CF2"/>
    <w:rsid w:val="00813701"/>
    <w:rsid w:val="00815AF9"/>
    <w:rsid w:val="00821CA6"/>
    <w:rsid w:val="00822A35"/>
    <w:rsid w:val="00824A07"/>
    <w:rsid w:val="00825317"/>
    <w:rsid w:val="00831266"/>
    <w:rsid w:val="00831DB4"/>
    <w:rsid w:val="00835BB5"/>
    <w:rsid w:val="00840CB2"/>
    <w:rsid w:val="00842E9A"/>
    <w:rsid w:val="00843DA7"/>
    <w:rsid w:val="008460D9"/>
    <w:rsid w:val="00846A4B"/>
    <w:rsid w:val="00846F8C"/>
    <w:rsid w:val="00850001"/>
    <w:rsid w:val="00856190"/>
    <w:rsid w:val="00860D3F"/>
    <w:rsid w:val="00861015"/>
    <w:rsid w:val="00862789"/>
    <w:rsid w:val="0086309B"/>
    <w:rsid w:val="008655D5"/>
    <w:rsid w:val="00867C51"/>
    <w:rsid w:val="00871328"/>
    <w:rsid w:val="0087178C"/>
    <w:rsid w:val="00874509"/>
    <w:rsid w:val="00875AF1"/>
    <w:rsid w:val="008762D1"/>
    <w:rsid w:val="00880C7D"/>
    <w:rsid w:val="0088297C"/>
    <w:rsid w:val="00882B84"/>
    <w:rsid w:val="008835F2"/>
    <w:rsid w:val="00885813"/>
    <w:rsid w:val="008875D7"/>
    <w:rsid w:val="008904CF"/>
    <w:rsid w:val="00891643"/>
    <w:rsid w:val="00891D98"/>
    <w:rsid w:val="008A2E55"/>
    <w:rsid w:val="008A3BC9"/>
    <w:rsid w:val="008A4208"/>
    <w:rsid w:val="008A6DFE"/>
    <w:rsid w:val="008A7A43"/>
    <w:rsid w:val="008A7E09"/>
    <w:rsid w:val="008A7F92"/>
    <w:rsid w:val="008B2A1E"/>
    <w:rsid w:val="008B3864"/>
    <w:rsid w:val="008B45CF"/>
    <w:rsid w:val="008B5569"/>
    <w:rsid w:val="008B7D3E"/>
    <w:rsid w:val="008C0571"/>
    <w:rsid w:val="008C6DB4"/>
    <w:rsid w:val="008C72DC"/>
    <w:rsid w:val="008C7FA3"/>
    <w:rsid w:val="008D59A7"/>
    <w:rsid w:val="008E3171"/>
    <w:rsid w:val="008E5C27"/>
    <w:rsid w:val="008E748C"/>
    <w:rsid w:val="008E7924"/>
    <w:rsid w:val="008F0120"/>
    <w:rsid w:val="008F08A5"/>
    <w:rsid w:val="008F27F2"/>
    <w:rsid w:val="008F348E"/>
    <w:rsid w:val="008F4EA9"/>
    <w:rsid w:val="008F4FAC"/>
    <w:rsid w:val="009004BE"/>
    <w:rsid w:val="00903A40"/>
    <w:rsid w:val="00903AB3"/>
    <w:rsid w:val="00903EBB"/>
    <w:rsid w:val="00905E62"/>
    <w:rsid w:val="00906C7D"/>
    <w:rsid w:val="00910F6D"/>
    <w:rsid w:val="00911CDC"/>
    <w:rsid w:val="00913249"/>
    <w:rsid w:val="00915BEA"/>
    <w:rsid w:val="009164C3"/>
    <w:rsid w:val="00916B66"/>
    <w:rsid w:val="0091727D"/>
    <w:rsid w:val="009207B7"/>
    <w:rsid w:val="00921913"/>
    <w:rsid w:val="00926242"/>
    <w:rsid w:val="00930C8F"/>
    <w:rsid w:val="00930F7F"/>
    <w:rsid w:val="009326E5"/>
    <w:rsid w:val="00933156"/>
    <w:rsid w:val="00933A8E"/>
    <w:rsid w:val="009346BD"/>
    <w:rsid w:val="00935329"/>
    <w:rsid w:val="00935E5D"/>
    <w:rsid w:val="009404F7"/>
    <w:rsid w:val="0094512E"/>
    <w:rsid w:val="009461C8"/>
    <w:rsid w:val="00946F0A"/>
    <w:rsid w:val="009516E4"/>
    <w:rsid w:val="00952623"/>
    <w:rsid w:val="00952C85"/>
    <w:rsid w:val="00955518"/>
    <w:rsid w:val="00961352"/>
    <w:rsid w:val="009630B7"/>
    <w:rsid w:val="009635FA"/>
    <w:rsid w:val="00964F64"/>
    <w:rsid w:val="00965836"/>
    <w:rsid w:val="00965FB5"/>
    <w:rsid w:val="0096788A"/>
    <w:rsid w:val="00967C28"/>
    <w:rsid w:val="00967C4B"/>
    <w:rsid w:val="00970349"/>
    <w:rsid w:val="00970D06"/>
    <w:rsid w:val="00971F32"/>
    <w:rsid w:val="00972651"/>
    <w:rsid w:val="00974722"/>
    <w:rsid w:val="00974E78"/>
    <w:rsid w:val="00977A51"/>
    <w:rsid w:val="00977A70"/>
    <w:rsid w:val="00983AB0"/>
    <w:rsid w:val="00984808"/>
    <w:rsid w:val="009863BF"/>
    <w:rsid w:val="00992AC9"/>
    <w:rsid w:val="00992FDD"/>
    <w:rsid w:val="009936A7"/>
    <w:rsid w:val="00996179"/>
    <w:rsid w:val="009A3C7C"/>
    <w:rsid w:val="009A4A8B"/>
    <w:rsid w:val="009A7978"/>
    <w:rsid w:val="009B0A65"/>
    <w:rsid w:val="009B22BE"/>
    <w:rsid w:val="009B3D92"/>
    <w:rsid w:val="009B4293"/>
    <w:rsid w:val="009C0021"/>
    <w:rsid w:val="009C3B10"/>
    <w:rsid w:val="009C4224"/>
    <w:rsid w:val="009C5C5A"/>
    <w:rsid w:val="009C5CD8"/>
    <w:rsid w:val="009C5CD9"/>
    <w:rsid w:val="009D07C6"/>
    <w:rsid w:val="009D2108"/>
    <w:rsid w:val="009D2CAB"/>
    <w:rsid w:val="009D6043"/>
    <w:rsid w:val="009F172B"/>
    <w:rsid w:val="00A00A3E"/>
    <w:rsid w:val="00A02674"/>
    <w:rsid w:val="00A05338"/>
    <w:rsid w:val="00A05A2B"/>
    <w:rsid w:val="00A07B20"/>
    <w:rsid w:val="00A126E4"/>
    <w:rsid w:val="00A12BD1"/>
    <w:rsid w:val="00A130FF"/>
    <w:rsid w:val="00A13B81"/>
    <w:rsid w:val="00A14D5F"/>
    <w:rsid w:val="00A165BC"/>
    <w:rsid w:val="00A16D2C"/>
    <w:rsid w:val="00A16DA5"/>
    <w:rsid w:val="00A21876"/>
    <w:rsid w:val="00A21CC6"/>
    <w:rsid w:val="00A239DD"/>
    <w:rsid w:val="00A24042"/>
    <w:rsid w:val="00A24640"/>
    <w:rsid w:val="00A25B18"/>
    <w:rsid w:val="00A278C7"/>
    <w:rsid w:val="00A313C3"/>
    <w:rsid w:val="00A32AB4"/>
    <w:rsid w:val="00A345C3"/>
    <w:rsid w:val="00A3677B"/>
    <w:rsid w:val="00A367D1"/>
    <w:rsid w:val="00A4048C"/>
    <w:rsid w:val="00A428D3"/>
    <w:rsid w:val="00A43210"/>
    <w:rsid w:val="00A443CF"/>
    <w:rsid w:val="00A47109"/>
    <w:rsid w:val="00A51A6E"/>
    <w:rsid w:val="00A51C81"/>
    <w:rsid w:val="00A52652"/>
    <w:rsid w:val="00A559D1"/>
    <w:rsid w:val="00A57B30"/>
    <w:rsid w:val="00A6163D"/>
    <w:rsid w:val="00A61A70"/>
    <w:rsid w:val="00A65E10"/>
    <w:rsid w:val="00A66346"/>
    <w:rsid w:val="00A73611"/>
    <w:rsid w:val="00A746A3"/>
    <w:rsid w:val="00A76B83"/>
    <w:rsid w:val="00A77F18"/>
    <w:rsid w:val="00A8132E"/>
    <w:rsid w:val="00A81FBA"/>
    <w:rsid w:val="00A83961"/>
    <w:rsid w:val="00A84523"/>
    <w:rsid w:val="00A90877"/>
    <w:rsid w:val="00A91067"/>
    <w:rsid w:val="00A92FF5"/>
    <w:rsid w:val="00A92FF7"/>
    <w:rsid w:val="00A93432"/>
    <w:rsid w:val="00A941F1"/>
    <w:rsid w:val="00AA0BA6"/>
    <w:rsid w:val="00AA44B9"/>
    <w:rsid w:val="00AA4B5E"/>
    <w:rsid w:val="00AB0826"/>
    <w:rsid w:val="00AB2417"/>
    <w:rsid w:val="00AB27A0"/>
    <w:rsid w:val="00AB4C1E"/>
    <w:rsid w:val="00AB7BE6"/>
    <w:rsid w:val="00AC3EA8"/>
    <w:rsid w:val="00AC4C8F"/>
    <w:rsid w:val="00AD0158"/>
    <w:rsid w:val="00AD0C98"/>
    <w:rsid w:val="00AD1613"/>
    <w:rsid w:val="00AD2606"/>
    <w:rsid w:val="00AD2A29"/>
    <w:rsid w:val="00AD6727"/>
    <w:rsid w:val="00AE0239"/>
    <w:rsid w:val="00AE0848"/>
    <w:rsid w:val="00AE097B"/>
    <w:rsid w:val="00AE4DB7"/>
    <w:rsid w:val="00AE5E36"/>
    <w:rsid w:val="00AF26E2"/>
    <w:rsid w:val="00AF36B4"/>
    <w:rsid w:val="00AF3ACB"/>
    <w:rsid w:val="00AF432C"/>
    <w:rsid w:val="00B01636"/>
    <w:rsid w:val="00B0342D"/>
    <w:rsid w:val="00B044D3"/>
    <w:rsid w:val="00B04B9B"/>
    <w:rsid w:val="00B050CC"/>
    <w:rsid w:val="00B0534B"/>
    <w:rsid w:val="00B05494"/>
    <w:rsid w:val="00B05BA1"/>
    <w:rsid w:val="00B06B1F"/>
    <w:rsid w:val="00B06CAB"/>
    <w:rsid w:val="00B10828"/>
    <w:rsid w:val="00B11A52"/>
    <w:rsid w:val="00B12315"/>
    <w:rsid w:val="00B15057"/>
    <w:rsid w:val="00B17CED"/>
    <w:rsid w:val="00B2204D"/>
    <w:rsid w:val="00B228FB"/>
    <w:rsid w:val="00B241FE"/>
    <w:rsid w:val="00B243B2"/>
    <w:rsid w:val="00B249EB"/>
    <w:rsid w:val="00B24D4D"/>
    <w:rsid w:val="00B250AE"/>
    <w:rsid w:val="00B25F71"/>
    <w:rsid w:val="00B276D7"/>
    <w:rsid w:val="00B27893"/>
    <w:rsid w:val="00B31126"/>
    <w:rsid w:val="00B31D40"/>
    <w:rsid w:val="00B32D81"/>
    <w:rsid w:val="00B36664"/>
    <w:rsid w:val="00B368C2"/>
    <w:rsid w:val="00B37F5E"/>
    <w:rsid w:val="00B416E4"/>
    <w:rsid w:val="00B44C6B"/>
    <w:rsid w:val="00B460AE"/>
    <w:rsid w:val="00B51B5B"/>
    <w:rsid w:val="00B549B2"/>
    <w:rsid w:val="00B56CFD"/>
    <w:rsid w:val="00B575D0"/>
    <w:rsid w:val="00B6316F"/>
    <w:rsid w:val="00B6379D"/>
    <w:rsid w:val="00B647B4"/>
    <w:rsid w:val="00B64E9B"/>
    <w:rsid w:val="00B65088"/>
    <w:rsid w:val="00B66DBE"/>
    <w:rsid w:val="00B67609"/>
    <w:rsid w:val="00B7092E"/>
    <w:rsid w:val="00B723C0"/>
    <w:rsid w:val="00B74B64"/>
    <w:rsid w:val="00B751C8"/>
    <w:rsid w:val="00B75FC7"/>
    <w:rsid w:val="00B763E0"/>
    <w:rsid w:val="00B8056B"/>
    <w:rsid w:val="00B83864"/>
    <w:rsid w:val="00B84E90"/>
    <w:rsid w:val="00B90112"/>
    <w:rsid w:val="00B91468"/>
    <w:rsid w:val="00B919C4"/>
    <w:rsid w:val="00B942F5"/>
    <w:rsid w:val="00B95995"/>
    <w:rsid w:val="00BA2BA1"/>
    <w:rsid w:val="00BA3EC6"/>
    <w:rsid w:val="00BA4BDE"/>
    <w:rsid w:val="00BA4E14"/>
    <w:rsid w:val="00BA590D"/>
    <w:rsid w:val="00BA77EE"/>
    <w:rsid w:val="00BB0037"/>
    <w:rsid w:val="00BB01ED"/>
    <w:rsid w:val="00BB10E6"/>
    <w:rsid w:val="00BB21B9"/>
    <w:rsid w:val="00BB5139"/>
    <w:rsid w:val="00BB662D"/>
    <w:rsid w:val="00BB7288"/>
    <w:rsid w:val="00BB7706"/>
    <w:rsid w:val="00BB7F28"/>
    <w:rsid w:val="00BC0060"/>
    <w:rsid w:val="00BC2A64"/>
    <w:rsid w:val="00BC2BAB"/>
    <w:rsid w:val="00BC2EA4"/>
    <w:rsid w:val="00BC5169"/>
    <w:rsid w:val="00BC5935"/>
    <w:rsid w:val="00BC5A0F"/>
    <w:rsid w:val="00BD4124"/>
    <w:rsid w:val="00BD4758"/>
    <w:rsid w:val="00BD770D"/>
    <w:rsid w:val="00BE2014"/>
    <w:rsid w:val="00BE3533"/>
    <w:rsid w:val="00BE3FD8"/>
    <w:rsid w:val="00BE4A8A"/>
    <w:rsid w:val="00BE67B9"/>
    <w:rsid w:val="00BE7C9C"/>
    <w:rsid w:val="00BF1059"/>
    <w:rsid w:val="00BF3894"/>
    <w:rsid w:val="00BF5C72"/>
    <w:rsid w:val="00BF6200"/>
    <w:rsid w:val="00BF64B9"/>
    <w:rsid w:val="00BF689F"/>
    <w:rsid w:val="00C00063"/>
    <w:rsid w:val="00C02DBF"/>
    <w:rsid w:val="00C03963"/>
    <w:rsid w:val="00C0422B"/>
    <w:rsid w:val="00C054DB"/>
    <w:rsid w:val="00C059CF"/>
    <w:rsid w:val="00C073E0"/>
    <w:rsid w:val="00C07925"/>
    <w:rsid w:val="00C10B06"/>
    <w:rsid w:val="00C1121C"/>
    <w:rsid w:val="00C11D5C"/>
    <w:rsid w:val="00C1251D"/>
    <w:rsid w:val="00C1426C"/>
    <w:rsid w:val="00C142D3"/>
    <w:rsid w:val="00C15FCA"/>
    <w:rsid w:val="00C16CFB"/>
    <w:rsid w:val="00C173D3"/>
    <w:rsid w:val="00C213EB"/>
    <w:rsid w:val="00C21984"/>
    <w:rsid w:val="00C21A15"/>
    <w:rsid w:val="00C23EED"/>
    <w:rsid w:val="00C31C85"/>
    <w:rsid w:val="00C32BAD"/>
    <w:rsid w:val="00C32FEF"/>
    <w:rsid w:val="00C3393B"/>
    <w:rsid w:val="00C352CD"/>
    <w:rsid w:val="00C370A6"/>
    <w:rsid w:val="00C372D7"/>
    <w:rsid w:val="00C4482B"/>
    <w:rsid w:val="00C44916"/>
    <w:rsid w:val="00C45C7A"/>
    <w:rsid w:val="00C50317"/>
    <w:rsid w:val="00C513AC"/>
    <w:rsid w:val="00C51706"/>
    <w:rsid w:val="00C51826"/>
    <w:rsid w:val="00C57F3D"/>
    <w:rsid w:val="00C61597"/>
    <w:rsid w:val="00C62702"/>
    <w:rsid w:val="00C634F0"/>
    <w:rsid w:val="00C64C1B"/>
    <w:rsid w:val="00C66641"/>
    <w:rsid w:val="00C6722C"/>
    <w:rsid w:val="00C72F25"/>
    <w:rsid w:val="00C7308B"/>
    <w:rsid w:val="00C74A77"/>
    <w:rsid w:val="00C74B27"/>
    <w:rsid w:val="00C76D8A"/>
    <w:rsid w:val="00C77C78"/>
    <w:rsid w:val="00C804E1"/>
    <w:rsid w:val="00C810EF"/>
    <w:rsid w:val="00C82969"/>
    <w:rsid w:val="00C82F07"/>
    <w:rsid w:val="00C85A8B"/>
    <w:rsid w:val="00C93257"/>
    <w:rsid w:val="00C94158"/>
    <w:rsid w:val="00C965DC"/>
    <w:rsid w:val="00C97677"/>
    <w:rsid w:val="00CA0216"/>
    <w:rsid w:val="00CA09BD"/>
    <w:rsid w:val="00CA2798"/>
    <w:rsid w:val="00CA381B"/>
    <w:rsid w:val="00CA488E"/>
    <w:rsid w:val="00CA4CBB"/>
    <w:rsid w:val="00CA4DCA"/>
    <w:rsid w:val="00CA5720"/>
    <w:rsid w:val="00CB1357"/>
    <w:rsid w:val="00CB1DB3"/>
    <w:rsid w:val="00CB324B"/>
    <w:rsid w:val="00CB59D3"/>
    <w:rsid w:val="00CB6ED1"/>
    <w:rsid w:val="00CC516C"/>
    <w:rsid w:val="00CC5ABF"/>
    <w:rsid w:val="00CC737C"/>
    <w:rsid w:val="00CC7AC4"/>
    <w:rsid w:val="00CD129C"/>
    <w:rsid w:val="00CD1A3C"/>
    <w:rsid w:val="00CD1E80"/>
    <w:rsid w:val="00CD254D"/>
    <w:rsid w:val="00CD25CD"/>
    <w:rsid w:val="00CD2DC9"/>
    <w:rsid w:val="00CD3AC4"/>
    <w:rsid w:val="00CD4910"/>
    <w:rsid w:val="00CD6EF9"/>
    <w:rsid w:val="00CD7D69"/>
    <w:rsid w:val="00CE4074"/>
    <w:rsid w:val="00CE4CD0"/>
    <w:rsid w:val="00CE773B"/>
    <w:rsid w:val="00CE7A80"/>
    <w:rsid w:val="00CF1114"/>
    <w:rsid w:val="00CF205B"/>
    <w:rsid w:val="00CF27A9"/>
    <w:rsid w:val="00D00889"/>
    <w:rsid w:val="00D01223"/>
    <w:rsid w:val="00D0185F"/>
    <w:rsid w:val="00D02176"/>
    <w:rsid w:val="00D02253"/>
    <w:rsid w:val="00D02EC1"/>
    <w:rsid w:val="00D035C1"/>
    <w:rsid w:val="00D0760D"/>
    <w:rsid w:val="00D13030"/>
    <w:rsid w:val="00D14012"/>
    <w:rsid w:val="00D14F3F"/>
    <w:rsid w:val="00D15FE8"/>
    <w:rsid w:val="00D16579"/>
    <w:rsid w:val="00D17842"/>
    <w:rsid w:val="00D2030E"/>
    <w:rsid w:val="00D216D1"/>
    <w:rsid w:val="00D22637"/>
    <w:rsid w:val="00D24C0F"/>
    <w:rsid w:val="00D32BE7"/>
    <w:rsid w:val="00D3373D"/>
    <w:rsid w:val="00D33F59"/>
    <w:rsid w:val="00D342B7"/>
    <w:rsid w:val="00D35504"/>
    <w:rsid w:val="00D35758"/>
    <w:rsid w:val="00D37880"/>
    <w:rsid w:val="00D4437D"/>
    <w:rsid w:val="00D44786"/>
    <w:rsid w:val="00D44957"/>
    <w:rsid w:val="00D468A3"/>
    <w:rsid w:val="00D525D3"/>
    <w:rsid w:val="00D53DFF"/>
    <w:rsid w:val="00D54994"/>
    <w:rsid w:val="00D611E5"/>
    <w:rsid w:val="00D65D35"/>
    <w:rsid w:val="00D66C28"/>
    <w:rsid w:val="00D6756E"/>
    <w:rsid w:val="00D678F4"/>
    <w:rsid w:val="00D70A1F"/>
    <w:rsid w:val="00D70BE4"/>
    <w:rsid w:val="00D7340C"/>
    <w:rsid w:val="00D7365E"/>
    <w:rsid w:val="00D73C3C"/>
    <w:rsid w:val="00D752AA"/>
    <w:rsid w:val="00D775FB"/>
    <w:rsid w:val="00D855F9"/>
    <w:rsid w:val="00D85A4D"/>
    <w:rsid w:val="00D876A0"/>
    <w:rsid w:val="00D91E7D"/>
    <w:rsid w:val="00D92AA9"/>
    <w:rsid w:val="00D9369E"/>
    <w:rsid w:val="00D93B49"/>
    <w:rsid w:val="00DA1E2D"/>
    <w:rsid w:val="00DA2841"/>
    <w:rsid w:val="00DA52D9"/>
    <w:rsid w:val="00DA738F"/>
    <w:rsid w:val="00DB3498"/>
    <w:rsid w:val="00DC27B0"/>
    <w:rsid w:val="00DC715D"/>
    <w:rsid w:val="00DC7229"/>
    <w:rsid w:val="00DD2542"/>
    <w:rsid w:val="00DD25C7"/>
    <w:rsid w:val="00DD2E39"/>
    <w:rsid w:val="00DD4017"/>
    <w:rsid w:val="00DD4861"/>
    <w:rsid w:val="00DE185A"/>
    <w:rsid w:val="00DE1C81"/>
    <w:rsid w:val="00DE1E93"/>
    <w:rsid w:val="00DE2E67"/>
    <w:rsid w:val="00DE5D33"/>
    <w:rsid w:val="00DF33E5"/>
    <w:rsid w:val="00DF380E"/>
    <w:rsid w:val="00E0000D"/>
    <w:rsid w:val="00E06C20"/>
    <w:rsid w:val="00E13686"/>
    <w:rsid w:val="00E140A8"/>
    <w:rsid w:val="00E153E1"/>
    <w:rsid w:val="00E15E9E"/>
    <w:rsid w:val="00E16134"/>
    <w:rsid w:val="00E16CD4"/>
    <w:rsid w:val="00E17CDD"/>
    <w:rsid w:val="00E2254D"/>
    <w:rsid w:val="00E22C13"/>
    <w:rsid w:val="00E22DE4"/>
    <w:rsid w:val="00E26169"/>
    <w:rsid w:val="00E264B3"/>
    <w:rsid w:val="00E266AD"/>
    <w:rsid w:val="00E31905"/>
    <w:rsid w:val="00E37C4F"/>
    <w:rsid w:val="00E42D52"/>
    <w:rsid w:val="00E43F57"/>
    <w:rsid w:val="00E515F9"/>
    <w:rsid w:val="00E53C3D"/>
    <w:rsid w:val="00E53E5D"/>
    <w:rsid w:val="00E54927"/>
    <w:rsid w:val="00E54950"/>
    <w:rsid w:val="00E54C37"/>
    <w:rsid w:val="00E55E02"/>
    <w:rsid w:val="00E60BED"/>
    <w:rsid w:val="00E61D27"/>
    <w:rsid w:val="00E61FBE"/>
    <w:rsid w:val="00E62FA3"/>
    <w:rsid w:val="00E633C4"/>
    <w:rsid w:val="00E63473"/>
    <w:rsid w:val="00E67D59"/>
    <w:rsid w:val="00E706D6"/>
    <w:rsid w:val="00E72E5F"/>
    <w:rsid w:val="00E72FA0"/>
    <w:rsid w:val="00E75BBB"/>
    <w:rsid w:val="00E80D22"/>
    <w:rsid w:val="00E83889"/>
    <w:rsid w:val="00E92716"/>
    <w:rsid w:val="00E9281A"/>
    <w:rsid w:val="00E93B80"/>
    <w:rsid w:val="00E948B9"/>
    <w:rsid w:val="00E94C2F"/>
    <w:rsid w:val="00E95F73"/>
    <w:rsid w:val="00EA0E74"/>
    <w:rsid w:val="00EA115B"/>
    <w:rsid w:val="00EA19E1"/>
    <w:rsid w:val="00EA27FF"/>
    <w:rsid w:val="00EA589B"/>
    <w:rsid w:val="00EA5F14"/>
    <w:rsid w:val="00EA703E"/>
    <w:rsid w:val="00EA7C41"/>
    <w:rsid w:val="00EB047B"/>
    <w:rsid w:val="00EB148F"/>
    <w:rsid w:val="00EB4B21"/>
    <w:rsid w:val="00EC27A9"/>
    <w:rsid w:val="00EC31DB"/>
    <w:rsid w:val="00ED043E"/>
    <w:rsid w:val="00ED1CBB"/>
    <w:rsid w:val="00ED2FB4"/>
    <w:rsid w:val="00ED4BBF"/>
    <w:rsid w:val="00ED76CF"/>
    <w:rsid w:val="00EE000B"/>
    <w:rsid w:val="00EE0D9B"/>
    <w:rsid w:val="00EE1417"/>
    <w:rsid w:val="00EE1843"/>
    <w:rsid w:val="00EE1A9A"/>
    <w:rsid w:val="00EE39AA"/>
    <w:rsid w:val="00EE460A"/>
    <w:rsid w:val="00EE4860"/>
    <w:rsid w:val="00EE4CD4"/>
    <w:rsid w:val="00EE675A"/>
    <w:rsid w:val="00EE73EF"/>
    <w:rsid w:val="00EE7819"/>
    <w:rsid w:val="00EF25B4"/>
    <w:rsid w:val="00EF33F9"/>
    <w:rsid w:val="00EF6AA3"/>
    <w:rsid w:val="00F02961"/>
    <w:rsid w:val="00F04245"/>
    <w:rsid w:val="00F045C0"/>
    <w:rsid w:val="00F07043"/>
    <w:rsid w:val="00F07468"/>
    <w:rsid w:val="00F07F1B"/>
    <w:rsid w:val="00F11F46"/>
    <w:rsid w:val="00F124E3"/>
    <w:rsid w:val="00F127B3"/>
    <w:rsid w:val="00F12CFD"/>
    <w:rsid w:val="00F13CFF"/>
    <w:rsid w:val="00F14097"/>
    <w:rsid w:val="00F14D5E"/>
    <w:rsid w:val="00F24072"/>
    <w:rsid w:val="00F24607"/>
    <w:rsid w:val="00F25EFB"/>
    <w:rsid w:val="00F30A57"/>
    <w:rsid w:val="00F3288B"/>
    <w:rsid w:val="00F37682"/>
    <w:rsid w:val="00F425D5"/>
    <w:rsid w:val="00F437AD"/>
    <w:rsid w:val="00F44727"/>
    <w:rsid w:val="00F466EA"/>
    <w:rsid w:val="00F47105"/>
    <w:rsid w:val="00F54663"/>
    <w:rsid w:val="00F5479C"/>
    <w:rsid w:val="00F551BD"/>
    <w:rsid w:val="00F563CA"/>
    <w:rsid w:val="00F57635"/>
    <w:rsid w:val="00F6202A"/>
    <w:rsid w:val="00F62546"/>
    <w:rsid w:val="00F62766"/>
    <w:rsid w:val="00F635B7"/>
    <w:rsid w:val="00F64A4D"/>
    <w:rsid w:val="00F67BFE"/>
    <w:rsid w:val="00F7298B"/>
    <w:rsid w:val="00F745B4"/>
    <w:rsid w:val="00F7689E"/>
    <w:rsid w:val="00F7788F"/>
    <w:rsid w:val="00F83A63"/>
    <w:rsid w:val="00F85F94"/>
    <w:rsid w:val="00F861DE"/>
    <w:rsid w:val="00F905E7"/>
    <w:rsid w:val="00F9112A"/>
    <w:rsid w:val="00F93B11"/>
    <w:rsid w:val="00F94817"/>
    <w:rsid w:val="00F95517"/>
    <w:rsid w:val="00F95D4E"/>
    <w:rsid w:val="00F96A2E"/>
    <w:rsid w:val="00F97463"/>
    <w:rsid w:val="00F97DD9"/>
    <w:rsid w:val="00FA0AE3"/>
    <w:rsid w:val="00FA2445"/>
    <w:rsid w:val="00FA390A"/>
    <w:rsid w:val="00FA435C"/>
    <w:rsid w:val="00FA5524"/>
    <w:rsid w:val="00FB1B69"/>
    <w:rsid w:val="00FB4427"/>
    <w:rsid w:val="00FB4723"/>
    <w:rsid w:val="00FB5391"/>
    <w:rsid w:val="00FB6EC7"/>
    <w:rsid w:val="00FC0D99"/>
    <w:rsid w:val="00FC1008"/>
    <w:rsid w:val="00FC32CA"/>
    <w:rsid w:val="00FC4639"/>
    <w:rsid w:val="00FC4D5C"/>
    <w:rsid w:val="00FC690C"/>
    <w:rsid w:val="00FC7A58"/>
    <w:rsid w:val="00FD1021"/>
    <w:rsid w:val="00FD3A6F"/>
    <w:rsid w:val="00FD66CF"/>
    <w:rsid w:val="00FD7778"/>
    <w:rsid w:val="00FE6B72"/>
    <w:rsid w:val="00FE7B94"/>
    <w:rsid w:val="00FF2032"/>
    <w:rsid w:val="00FF5A9B"/>
    <w:rsid w:val="00FF6C3D"/>
    <w:rsid w:val="00FF7303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8768"/>
  <w15:docId w15:val="{361AAB8C-9CE3-42DA-8EA5-65ADE44D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DED"/>
  </w:style>
  <w:style w:type="paragraph" w:styleId="Nagwek1">
    <w:name w:val="heading 1"/>
    <w:basedOn w:val="Normalny"/>
    <w:next w:val="Normalny"/>
    <w:link w:val="Nagwek1Znak"/>
    <w:qFormat/>
    <w:rsid w:val="00EE1843"/>
    <w:pPr>
      <w:keepNext/>
      <w:numPr>
        <w:numId w:val="50"/>
      </w:numPr>
      <w:suppressLineNumbers/>
      <w:spacing w:before="240" w:after="60" w:line="240" w:lineRule="auto"/>
      <w:jc w:val="right"/>
      <w:outlineLvl w:val="0"/>
    </w:pPr>
    <w:rPr>
      <w:rFonts w:ascii="Arial" w:eastAsia="Times New Roman" w:hAnsi="Arial" w:cs="Times New Roman"/>
      <w:b/>
      <w:kern w:val="24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E1843"/>
    <w:pPr>
      <w:keepNext/>
      <w:numPr>
        <w:ilvl w:val="1"/>
        <w:numId w:val="50"/>
      </w:numPr>
      <w:spacing w:before="40" w:after="0" w:line="240" w:lineRule="auto"/>
      <w:jc w:val="center"/>
      <w:outlineLvl w:val="1"/>
    </w:pPr>
    <w:rPr>
      <w:rFonts w:ascii="Times New Roman" w:eastAsia="Times New Roman" w:hAnsi="Times New Roman" w:cs="Times New Roman"/>
      <w:b/>
      <w:smallCaps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E1843"/>
    <w:pPr>
      <w:keepNext/>
      <w:numPr>
        <w:ilvl w:val="2"/>
        <w:numId w:val="50"/>
      </w:numPr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8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E1843"/>
    <w:pPr>
      <w:keepNext/>
      <w:numPr>
        <w:ilvl w:val="3"/>
        <w:numId w:val="50"/>
      </w:numPr>
      <w:spacing w:before="4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E1843"/>
    <w:pPr>
      <w:keepNext/>
      <w:numPr>
        <w:ilvl w:val="4"/>
        <w:numId w:val="50"/>
      </w:numPr>
      <w:tabs>
        <w:tab w:val="left" w:pos="567"/>
      </w:tabs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E1843"/>
    <w:pPr>
      <w:keepNext/>
      <w:numPr>
        <w:ilvl w:val="5"/>
        <w:numId w:val="50"/>
      </w:numPr>
      <w:spacing w:before="40"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E1843"/>
    <w:pPr>
      <w:keepNext/>
      <w:numPr>
        <w:ilvl w:val="6"/>
        <w:numId w:val="50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caps/>
      <w:sz w:val="20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EE1843"/>
    <w:pPr>
      <w:keepNext/>
      <w:numPr>
        <w:ilvl w:val="7"/>
        <w:numId w:val="50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E1843"/>
    <w:pPr>
      <w:keepNext/>
      <w:numPr>
        <w:ilvl w:val="8"/>
        <w:numId w:val="50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ISCG Numerowanie,lp1,List Paragraph2,List Paragraph"/>
    <w:basedOn w:val="Normalny"/>
    <w:link w:val="AkapitzlistZnak"/>
    <w:uiPriority w:val="34"/>
    <w:qFormat/>
    <w:rsid w:val="00627E7A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"/>
    <w:link w:val="Akapitzlist"/>
    <w:uiPriority w:val="34"/>
    <w:locked/>
    <w:rsid w:val="00055803"/>
  </w:style>
  <w:style w:type="character" w:styleId="Odwoaniedokomentarza">
    <w:name w:val="annotation reference"/>
    <w:basedOn w:val="Domylnaczcionkaakapitu"/>
    <w:uiPriority w:val="99"/>
    <w:semiHidden/>
    <w:unhideWhenUsed/>
    <w:rsid w:val="00BE20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0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0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0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01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01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67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67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6727"/>
    <w:rPr>
      <w:vertAlign w:val="superscript"/>
    </w:rPr>
  </w:style>
  <w:style w:type="table" w:styleId="Tabela-Siatka">
    <w:name w:val="Table Grid"/>
    <w:basedOn w:val="Standardowy"/>
    <w:uiPriority w:val="39"/>
    <w:rsid w:val="00F0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84523"/>
    <w:pPr>
      <w:spacing w:after="0" w:line="240" w:lineRule="auto"/>
    </w:pPr>
  </w:style>
  <w:style w:type="paragraph" w:customStyle="1" w:styleId="Default">
    <w:name w:val="Default"/>
    <w:rsid w:val="00316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E1843"/>
    <w:rPr>
      <w:rFonts w:ascii="Arial" w:eastAsia="Times New Roman" w:hAnsi="Arial" w:cs="Times New Roman"/>
      <w:b/>
      <w:kern w:val="24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E1843"/>
    <w:rPr>
      <w:rFonts w:ascii="Times New Roman" w:eastAsia="Times New Roman" w:hAnsi="Times New Roman" w:cs="Times New Roman"/>
      <w:b/>
      <w:smallCap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E1843"/>
    <w:rPr>
      <w:rFonts w:ascii="Times New Roman" w:eastAsia="Times New Roman" w:hAnsi="Times New Roman" w:cs="Times New Roman"/>
      <w:b/>
      <w:color w:val="008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E1843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E184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EE184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EE1843"/>
    <w:rPr>
      <w:rFonts w:ascii="Times New Roman" w:eastAsia="Times New Roman" w:hAnsi="Times New Roman" w:cs="Times New Roman"/>
      <w:b/>
      <w:bCs/>
      <w:caps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E184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EE1843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EE1843"/>
    <w:pPr>
      <w:numPr>
        <w:numId w:val="51"/>
      </w:num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aliases w:val="7 Znak,6 Znak,5 Znak,71 Znak,61 Znak,51 Znak,72 Znak,62 Znak,52 Znak,711 Znak,611 Znak,511 Znak,73 Znak,63 Znak,53 Znak,74 Znak,64 Znak,54 Znak,75 Znak,65 Znak,55 Znak,76 Znak,66 Znak,56 Znak,712 Znak,612 Znak,512 Znak,77 Znak,67 Znak"/>
    <w:basedOn w:val="Domylnaczcionkaakapitu"/>
    <w:link w:val="Nagwek"/>
    <w:uiPriority w:val="99"/>
    <w:rsid w:val="00EE1843"/>
    <w:rPr>
      <w:rFonts w:ascii="Calibri" w:eastAsia="Calibri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F47B2-6B5E-4A47-9642-E66C2A65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3597</Words>
  <Characters>21584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Mikulska</dc:creator>
  <cp:lastModifiedBy>Zaręba Anna</cp:lastModifiedBy>
  <cp:revision>4</cp:revision>
  <cp:lastPrinted>2019-06-27T14:19:00Z</cp:lastPrinted>
  <dcterms:created xsi:type="dcterms:W3CDTF">2019-07-15T09:15:00Z</dcterms:created>
  <dcterms:modified xsi:type="dcterms:W3CDTF">2019-07-19T08:31:00Z</dcterms:modified>
</cp:coreProperties>
</file>